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120" w:type="dxa"/>
        <w:jc w:val="left"/>
        <w:tblInd w:w="85" w:type="dxa"/>
        <w:tblLayout w:type="fixed"/>
        <w:tblCellMar>
          <w:top w:w="0" w:type="dxa"/>
          <w:left w:w="85" w:type="dxa"/>
          <w:bottom w:w="0" w:type="dxa"/>
          <w:right w:w="85" w:type="dxa"/>
        </w:tblCellMar>
        <w:tblLook w:val="0000" w:noHBand="0" w:noVBand="0" w:firstColumn="0" w:lastRow="0" w:lastColumn="0" w:firstRow="0"/>
      </w:tblPr>
      <w:tblGrid>
        <w:gridCol w:w="9120"/>
      </w:tblGrid>
      <w:tr>
        <w:trPr>
          <w:cantSplit w:val="true"/>
        </w:trPr>
        <w:tc>
          <w:tcPr>
            <w:tcW w:w="9120" w:type="dxa"/>
            <w:tcBorders/>
          </w:tcPr>
          <w:p>
            <w:pPr>
              <w:pStyle w:val="Normal"/>
              <w:widowControl w:val="false"/>
              <w:tabs>
                <w:tab w:val="clear" w:pos="720"/>
                <w:tab w:val="right" w:pos="5443" w:leader="underscore"/>
              </w:tabs>
              <w:jc w:val="center"/>
              <w:rPr>
                <w:b/>
                <w:b/>
                <w:bCs/>
                <w:i/>
                <w:i/>
                <w:sz w:val="40"/>
              </w:rPr>
            </w:pPr>
            <w:r>
              <w:rPr>
                <w:b/>
                <w:bCs/>
                <w:i/>
                <w:sz w:val="40"/>
              </w:rPr>
              <w:t>2021 New Zealand National R Class Skiff Championship</w:t>
            </w:r>
          </w:p>
          <w:p>
            <w:pPr>
              <w:pStyle w:val="Normal"/>
              <w:widowControl w:val="false"/>
              <w:tabs>
                <w:tab w:val="clear" w:pos="720"/>
                <w:tab w:val="right" w:pos="5443" w:leader="underscore"/>
              </w:tabs>
              <w:jc w:val="center"/>
              <w:rPr>
                <w:b/>
                <w:b/>
                <w:bCs/>
                <w:i/>
                <w:i/>
                <w:sz w:val="40"/>
              </w:rPr>
            </w:pPr>
            <w:r>
              <w:rPr>
                <w:b/>
                <w:bCs/>
                <w:i/>
                <w:sz w:val="40"/>
              </w:rPr>
              <w:t>71st Leander Trophy</w:t>
            </w:r>
          </w:p>
          <w:p>
            <w:pPr>
              <w:pStyle w:val="Normal"/>
              <w:widowControl w:val="false"/>
              <w:tabs>
                <w:tab w:val="clear" w:pos="720"/>
                <w:tab w:val="right" w:pos="5443" w:leader="underscore"/>
              </w:tabs>
              <w:jc w:val="center"/>
              <w:rPr>
                <w:b/>
                <w:b/>
                <w:bCs/>
                <w:i/>
                <w:i/>
                <w:sz w:val="40"/>
              </w:rPr>
            </w:pPr>
            <w:r>
              <w:rPr>
                <w:b/>
                <w:bCs/>
                <w:i/>
                <w:sz w:val="40"/>
              </w:rPr>
            </w:r>
          </w:p>
          <w:p>
            <w:pPr>
              <w:pStyle w:val="Normal"/>
              <w:widowControl w:val="false"/>
              <w:tabs>
                <w:tab w:val="clear" w:pos="720"/>
                <w:tab w:val="right" w:pos="5443" w:leader="underscore"/>
              </w:tabs>
              <w:jc w:val="center"/>
              <w:rPr>
                <w:b/>
                <w:b/>
                <w:bCs/>
                <w:i/>
                <w:i/>
                <w:sz w:val="40"/>
              </w:rPr>
            </w:pPr>
            <w:r>
              <w:rPr>
                <w:i/>
              </w:rPr>
              <w:t>11</w:t>
            </w:r>
            <w:r>
              <w:rPr>
                <w:i/>
                <w:vertAlign w:val="superscript"/>
              </w:rPr>
              <w:t>th</w:t>
            </w:r>
            <w:r>
              <w:rPr>
                <w:i/>
              </w:rPr>
              <w:t>- 14</w:t>
            </w:r>
            <w:r>
              <w:rPr>
                <w:i/>
                <w:vertAlign w:val="superscript"/>
              </w:rPr>
              <w:t>th</w:t>
            </w:r>
            <w:r>
              <w:rPr>
                <w:i/>
              </w:rPr>
              <w:t xml:space="preserve"> February 2021</w:t>
            </w:r>
          </w:p>
          <w:p>
            <w:pPr>
              <w:pStyle w:val="Normal"/>
              <w:widowControl w:val="false"/>
              <w:tabs>
                <w:tab w:val="clear" w:pos="720"/>
                <w:tab w:val="right" w:pos="5443" w:leader="underscore"/>
              </w:tabs>
              <w:jc w:val="center"/>
              <w:rPr>
                <w:i/>
                <w:i/>
              </w:rPr>
            </w:pPr>
            <w:r>
              <w:rPr>
                <w:i/>
              </w:rPr>
              <w:t>Lyttelton Harbour</w:t>
            </w:r>
          </w:p>
          <w:p>
            <w:pPr>
              <w:pStyle w:val="Normal"/>
              <w:widowControl w:val="false"/>
              <w:tabs>
                <w:tab w:val="clear" w:pos="720"/>
                <w:tab w:val="right" w:pos="5137" w:leader="underscore"/>
              </w:tabs>
              <w:rPr>
                <w:i/>
                <w:i/>
              </w:rPr>
            </w:pPr>
            <w:r>
              <w:rPr>
                <w:i/>
              </w:rPr>
            </w:r>
          </w:p>
        </w:tc>
      </w:tr>
      <w:tr>
        <w:trPr>
          <w:cantSplit w:val="true"/>
        </w:trPr>
        <w:tc>
          <w:tcPr>
            <w:tcW w:w="9120" w:type="dxa"/>
            <w:tcBorders/>
          </w:tcPr>
          <w:p>
            <w:pPr>
              <w:pStyle w:val="Normal"/>
              <w:widowControl w:val="false"/>
              <w:jc w:val="center"/>
              <w:rPr/>
            </w:pPr>
            <w:r>
              <w:rPr/>
              <w:t xml:space="preserve">The Organising Authority is </w:t>
            </w:r>
          </w:p>
          <w:p>
            <w:pPr>
              <w:pStyle w:val="Normal"/>
              <w:widowControl w:val="false"/>
              <w:jc w:val="center"/>
              <w:rPr/>
            </w:pPr>
            <w:r>
              <w:rPr/>
              <w:softHyphen/>
              <w:softHyphen/>
              <w:softHyphen/>
              <w:softHyphen/>
              <w:t>Naval Point Club Lyttelton.</w:t>
            </w:r>
          </w:p>
          <w:p>
            <w:pPr>
              <w:pStyle w:val="Normal"/>
              <w:widowControl w:val="false"/>
              <w:rPr/>
            </w:pPr>
            <w:r>
              <w:rPr/>
            </w:r>
          </w:p>
        </w:tc>
      </w:tr>
      <w:tr>
        <w:trPr>
          <w:cantSplit w:val="true"/>
        </w:trPr>
        <w:tc>
          <w:tcPr>
            <w:tcW w:w="9120" w:type="dxa"/>
            <w:tcBorders/>
          </w:tcPr>
          <w:p>
            <w:pPr>
              <w:pStyle w:val="Normal"/>
              <w:widowControl w:val="false"/>
              <w:rPr>
                <w:b/>
                <w:b/>
              </w:rPr>
            </w:pPr>
            <w:r>
              <w:rPr>
                <w:b/>
              </w:rPr>
            </w:r>
          </w:p>
          <w:p>
            <w:pPr>
              <w:pStyle w:val="Normal"/>
              <w:widowControl w:val="false"/>
              <w:jc w:val="center"/>
              <w:rPr>
                <w:b/>
                <w:b/>
                <w:sz w:val="36"/>
              </w:rPr>
            </w:pPr>
            <w:r>
              <w:rPr>
                <w:b/>
                <w:sz w:val="36"/>
              </w:rPr>
              <w:t>Sailing Instructions</w:t>
            </w:r>
          </w:p>
          <w:p>
            <w:pPr>
              <w:pStyle w:val="Normal"/>
              <w:widowControl w:val="false"/>
              <w:rPr/>
            </w:pPr>
            <w:r>
              <w:rPr/>
            </w:r>
          </w:p>
        </w:tc>
      </w:tr>
      <w:tr>
        <w:trPr>
          <w:cantSplit w:val="true"/>
        </w:trPr>
        <w:tc>
          <w:tcPr>
            <w:tcW w:w="9120" w:type="dxa"/>
            <w:tcBorders/>
          </w:tcPr>
          <w:p>
            <w:pPr>
              <w:pStyle w:val="Normal"/>
              <w:widowControl w:val="false"/>
              <w:rPr>
                <w:bCs/>
                <w:i/>
                <w:i/>
                <w:sz w:val="20"/>
              </w:rPr>
            </w:pPr>
            <w:r>
              <w:rPr>
                <w:bCs/>
                <w:sz w:val="20"/>
              </w:rPr>
              <w:t>NB: The notation ‘[DP]’ in a rule in the SI means that the penalty for a breach of that rule may, at the discretion of the protest committee, be less than disqualification</w:t>
            </w:r>
            <w:r>
              <w:rPr>
                <w:bCs/>
                <w:i/>
                <w:sz w:val="20"/>
              </w:rPr>
              <w:t>.</w:t>
            </w:r>
          </w:p>
          <w:p>
            <w:pPr>
              <w:pStyle w:val="Normal"/>
              <w:widowControl w:val="false"/>
              <w:rPr>
                <w:b/>
                <w:b/>
              </w:rPr>
            </w:pPr>
            <w:r>
              <w:rPr>
                <w:b/>
              </w:rPr>
            </w:r>
          </w:p>
        </w:tc>
      </w:tr>
      <w:tr>
        <w:trPr>
          <w:cantSplit w:val="true"/>
        </w:trPr>
        <w:tc>
          <w:tcPr>
            <w:tcW w:w="9120" w:type="dxa"/>
            <w:tcBorders/>
          </w:tcPr>
          <w:p>
            <w:pPr>
              <w:pStyle w:val="ParaHeading"/>
              <w:widowControl w:val="false"/>
              <w:spacing w:before="240" w:after="240"/>
              <w:ind w:left="709" w:hanging="709"/>
              <w:rPr>
                <w:i/>
                <w:i/>
              </w:rPr>
            </w:pPr>
            <w:r>
              <w:rPr/>
              <w:t>1.0</w:t>
              <w:tab/>
              <w:t>Rules</w:t>
            </w:r>
          </w:p>
        </w:tc>
      </w:tr>
      <w:tr>
        <w:trPr>
          <w:cantSplit w:val="true"/>
        </w:trPr>
        <w:tc>
          <w:tcPr>
            <w:tcW w:w="9120" w:type="dxa"/>
            <w:tcBorders/>
            <w:vAlign w:val="bottom"/>
          </w:tcPr>
          <w:p>
            <w:pPr>
              <w:pStyle w:val="Normal"/>
              <w:widowControl w:val="false"/>
              <w:numPr>
                <w:ilvl w:val="1"/>
                <w:numId w:val="1"/>
              </w:numPr>
              <w:ind w:left="709" w:hanging="709"/>
              <w:rPr>
                <w:szCs w:val="24"/>
              </w:rPr>
            </w:pPr>
            <w:r>
              <w:rPr>
                <w:szCs w:val="24"/>
              </w:rPr>
              <w:t>The regatta will be governed by the ‘rules’ as defined in the</w:t>
            </w:r>
            <w:r>
              <w:rPr>
                <w:i/>
                <w:szCs w:val="24"/>
              </w:rPr>
              <w:t xml:space="preserve"> Racing Rules of </w:t>
            </w:r>
            <w:r>
              <w:rPr>
                <w:i/>
                <w:spacing w:val="-5"/>
                <w:szCs w:val="24"/>
              </w:rPr>
              <w:t>Sailing</w:t>
            </w:r>
            <w:r>
              <w:rPr>
                <w:spacing w:val="-5"/>
                <w:szCs w:val="24"/>
              </w:rPr>
              <w:t>.</w:t>
            </w:r>
          </w:p>
        </w:tc>
      </w:tr>
      <w:tr>
        <w:trPr>
          <w:cantSplit w:val="true"/>
        </w:trPr>
        <w:tc>
          <w:tcPr>
            <w:tcW w:w="9120" w:type="dxa"/>
            <w:tcBorders/>
            <w:vAlign w:val="bottom"/>
          </w:tcPr>
          <w:p>
            <w:pPr>
              <w:pStyle w:val="BodyTextIndent2"/>
              <w:widowControl w:val="false"/>
              <w:numPr>
                <w:ilvl w:val="1"/>
                <w:numId w:val="1"/>
              </w:numPr>
              <w:ind w:left="766" w:hanging="766"/>
              <w:rPr>
                <w:rFonts w:ascii="Arial Narrow" w:hAnsi="Arial Narrow"/>
                <w:sz w:val="24"/>
                <w:szCs w:val="24"/>
              </w:rPr>
            </w:pPr>
            <w:r>
              <w:rPr>
                <w:rFonts w:ascii="Arial Narrow" w:hAnsi="Arial Narrow"/>
                <w:spacing w:val="-5"/>
                <w:sz w:val="24"/>
                <w:szCs w:val="24"/>
              </w:rPr>
              <w:t xml:space="preserve">The Yachting New Zealand Safety Regulations Part 1 shall apply. </w:t>
            </w:r>
          </w:p>
        </w:tc>
      </w:tr>
      <w:tr>
        <w:trPr>
          <w:cantSplit w:val="true"/>
        </w:trPr>
        <w:tc>
          <w:tcPr>
            <w:tcW w:w="9120" w:type="dxa"/>
            <w:tcBorders/>
            <w:vAlign w:val="bottom"/>
          </w:tcPr>
          <w:p>
            <w:pPr>
              <w:pStyle w:val="BodyTextIndent2"/>
              <w:widowControl w:val="false"/>
              <w:numPr>
                <w:ilvl w:val="1"/>
                <w:numId w:val="1"/>
              </w:numPr>
              <w:tabs>
                <w:tab w:val="clear" w:pos="720"/>
                <w:tab w:val="left" w:pos="766" w:leader="none"/>
              </w:tabs>
              <w:rPr>
                <w:rFonts w:ascii="Arial Narrow" w:hAnsi="Arial Narrow"/>
                <w:spacing w:val="-5"/>
                <w:sz w:val="24"/>
                <w:szCs w:val="24"/>
              </w:rPr>
            </w:pPr>
            <w:r>
              <w:rPr>
                <w:rFonts w:ascii="Arial Narrow" w:hAnsi="Arial Narrow"/>
                <w:sz w:val="24"/>
                <w:szCs w:val="24"/>
              </w:rPr>
              <w:t>The rules of the R Class Skiff shall apply.</w:t>
            </w:r>
          </w:p>
          <w:p>
            <w:pPr>
              <w:pStyle w:val="BodyTextIndent2"/>
              <w:widowControl w:val="false"/>
              <w:numPr>
                <w:ilvl w:val="1"/>
                <w:numId w:val="1"/>
              </w:numPr>
              <w:tabs>
                <w:tab w:val="clear" w:pos="720"/>
                <w:tab w:val="left" w:pos="766" w:leader="none"/>
              </w:tabs>
              <w:rPr>
                <w:rFonts w:ascii="Arial Narrow" w:hAnsi="Arial Narrow"/>
                <w:spacing w:val="-5"/>
                <w:sz w:val="24"/>
                <w:szCs w:val="24"/>
              </w:rPr>
            </w:pPr>
            <w:r>
              <w:rPr>
                <w:rFonts w:ascii="Arial Narrow" w:hAnsi="Arial Narrow"/>
                <w:sz w:val="24"/>
                <w:szCs w:val="24"/>
              </w:rPr>
              <w:t>Appendix T, Arbitration, will apply.</w:t>
            </w:r>
          </w:p>
          <w:p>
            <w:pPr>
              <w:pStyle w:val="BodyTextIndent2"/>
              <w:widowControl w:val="false"/>
              <w:tabs>
                <w:tab w:val="clear" w:pos="720"/>
                <w:tab w:val="left" w:pos="766" w:leader="none"/>
              </w:tabs>
              <w:ind w:left="630" w:hanging="0"/>
              <w:rPr>
                <w:rFonts w:ascii="Arial Narrow" w:hAnsi="Arial Narrow"/>
                <w:spacing w:val="-5"/>
                <w:sz w:val="24"/>
                <w:szCs w:val="24"/>
              </w:rPr>
            </w:pPr>
            <w:r>
              <w:rPr>
                <w:rFonts w:ascii="Arial Narrow" w:hAnsi="Arial Narrow"/>
                <w:spacing w:val="-5"/>
                <w:sz w:val="24"/>
                <w:szCs w:val="24"/>
              </w:rPr>
            </w:r>
          </w:p>
        </w:tc>
      </w:tr>
      <w:tr>
        <w:trPr>
          <w:trHeight w:val="902" w:hRule="atLeast"/>
          <w:cantSplit w:val="true"/>
        </w:trPr>
        <w:tc>
          <w:tcPr>
            <w:tcW w:w="9120" w:type="dxa"/>
            <w:tcBorders/>
          </w:tcPr>
          <w:p>
            <w:pPr>
              <w:pStyle w:val="ParaHeading"/>
              <w:widowControl w:val="false"/>
              <w:tabs>
                <w:tab w:val="clear" w:pos="601"/>
                <w:tab w:val="left" w:pos="625" w:leader="none"/>
                <w:tab w:val="left" w:pos="1676" w:leader="none"/>
              </w:tabs>
              <w:spacing w:before="240" w:after="240"/>
              <w:ind w:left="709" w:hanging="709"/>
              <w:rPr/>
            </w:pPr>
            <w:r>
              <w:rPr/>
              <w:t>2.0</w:t>
              <w:tab/>
              <w:t>Notices to Competitors</w:t>
            </w:r>
          </w:p>
        </w:tc>
      </w:tr>
      <w:tr>
        <w:trPr>
          <w:cantSplit w:val="true"/>
        </w:trPr>
        <w:tc>
          <w:tcPr>
            <w:tcW w:w="9120" w:type="dxa"/>
            <w:tcBorders/>
          </w:tcPr>
          <w:p>
            <w:pPr>
              <w:pStyle w:val="Normal"/>
              <w:widowControl w:val="false"/>
              <w:ind w:left="709" w:hanging="709"/>
              <w:rPr/>
            </w:pPr>
            <w:r>
              <w:rPr/>
              <w:tab/>
              <w:t>Notices to competitors will be posted on the official notice board located at Naval Point Club Lyttelton.</w:t>
            </w:r>
          </w:p>
        </w:tc>
      </w:tr>
      <w:tr>
        <w:trPr>
          <w:cantSplit w:val="true"/>
        </w:trPr>
        <w:tc>
          <w:tcPr>
            <w:tcW w:w="9120" w:type="dxa"/>
            <w:tcBorders/>
          </w:tcPr>
          <w:p>
            <w:pPr>
              <w:pStyle w:val="ParaHeading"/>
              <w:widowControl w:val="false"/>
              <w:spacing w:before="240" w:after="240"/>
              <w:ind w:left="709" w:hanging="709"/>
              <w:rPr/>
            </w:pPr>
            <w:r>
              <w:rPr/>
              <w:t>3.0</w:t>
              <w:tab/>
              <w:t>Changes to Sailing Instructions</w:t>
            </w:r>
          </w:p>
        </w:tc>
      </w:tr>
      <w:tr>
        <w:trPr>
          <w:cantSplit w:val="true"/>
        </w:trPr>
        <w:tc>
          <w:tcPr>
            <w:tcW w:w="9120" w:type="dxa"/>
            <w:tcBorders/>
          </w:tcPr>
          <w:p>
            <w:pPr>
              <w:pStyle w:val="Normal"/>
              <w:widowControl w:val="false"/>
              <w:ind w:left="709" w:hanging="709"/>
              <w:rPr/>
            </w:pPr>
            <w:r>
              <w:rPr/>
              <w:tab/>
              <w:t>Any change to the Sailing Instructions will be posted before 0900 hours on the day it will take effect, except that any change to the schedule of races will be posted by 2000 hours or the end of protest time whichever is earlier on the day before it will take effect.</w:t>
            </w:r>
          </w:p>
        </w:tc>
      </w:tr>
      <w:tr>
        <w:trPr>
          <w:cantSplit w:val="true"/>
        </w:trPr>
        <w:tc>
          <w:tcPr>
            <w:tcW w:w="9120" w:type="dxa"/>
            <w:tcBorders/>
          </w:tcPr>
          <w:p>
            <w:pPr>
              <w:pStyle w:val="ParaHeading"/>
              <w:widowControl w:val="false"/>
              <w:spacing w:before="240" w:after="240"/>
              <w:ind w:left="709" w:hanging="709"/>
              <w:rPr/>
            </w:pPr>
            <w:r>
              <w:rPr/>
              <w:t>4.0</w:t>
              <w:tab/>
              <w:t>Signals Made Ashore</w:t>
            </w:r>
          </w:p>
        </w:tc>
      </w:tr>
      <w:tr>
        <w:trPr>
          <w:cantSplit w:val="true"/>
        </w:trPr>
        <w:tc>
          <w:tcPr>
            <w:tcW w:w="9120" w:type="dxa"/>
            <w:tcBorders/>
          </w:tcPr>
          <w:p>
            <w:pPr>
              <w:pStyle w:val="Normal"/>
              <w:widowControl w:val="false"/>
              <w:ind w:left="709" w:hanging="709"/>
              <w:rPr/>
            </w:pPr>
            <w:r>
              <w:rPr/>
              <w:t>4.1</w:t>
              <w:tab/>
              <w:t>Signals made ashore will be displayed at Naval Point Club Lyttelton.</w:t>
            </w:r>
          </w:p>
          <w:p>
            <w:pPr>
              <w:pStyle w:val="Normal"/>
              <w:widowControl w:val="false"/>
              <w:ind w:left="709" w:hanging="709"/>
              <w:rPr/>
            </w:pPr>
            <w:r>
              <w:rPr/>
            </w:r>
          </w:p>
        </w:tc>
      </w:tr>
      <w:tr>
        <w:trPr>
          <w:cantSplit w:val="true"/>
        </w:trPr>
        <w:tc>
          <w:tcPr>
            <w:tcW w:w="9120" w:type="dxa"/>
            <w:tcBorders/>
          </w:tcPr>
          <w:p>
            <w:pPr>
              <w:pStyle w:val="Normal"/>
              <w:widowControl w:val="false"/>
              <w:ind w:left="709" w:hanging="709"/>
              <w:rPr/>
            </w:pPr>
            <w:r>
              <w:rPr/>
              <w:t>4.2</w:t>
              <w:tab/>
              <w:t>When flag AP is displayed ashore, ‘1 minute’ is replaced with ‘not less than 45 minutes’ in race signal, AP.  When flag AP over flag B is displayed boats shall not go afloat. [DP]</w:t>
            </w:r>
          </w:p>
        </w:tc>
      </w:tr>
      <w:tr>
        <w:trPr>
          <w:cantSplit w:val="true"/>
        </w:trPr>
        <w:tc>
          <w:tcPr>
            <w:tcW w:w="9120" w:type="dxa"/>
            <w:tcBorders/>
          </w:tcPr>
          <w:p>
            <w:pPr>
              <w:pStyle w:val="ParaHeading"/>
              <w:widowControl w:val="false"/>
              <w:spacing w:before="240" w:after="240"/>
              <w:ind w:left="709" w:hanging="709"/>
              <w:rPr/>
            </w:pPr>
            <w:r>
              <w:rPr/>
              <w:t>5.0</w:t>
              <w:tab/>
              <w:tab/>
              <w:t>Schedule of Races</w:t>
            </w:r>
          </w:p>
        </w:tc>
      </w:tr>
      <w:tr>
        <w:trPr>
          <w:trHeight w:val="4646" w:hRule="atLeast"/>
          <w:cantSplit w:val="true"/>
        </w:trPr>
        <w:tc>
          <w:tcPr>
            <w:tcW w:w="9120" w:type="dxa"/>
            <w:tcBorders/>
          </w:tcPr>
          <w:p>
            <w:pPr>
              <w:pStyle w:val="Normal"/>
              <w:widowControl w:val="false"/>
              <w:ind w:left="709" w:hanging="709"/>
              <w:rPr>
                <w:sz w:val="22"/>
                <w:szCs w:val="22"/>
              </w:rPr>
            </w:pPr>
            <w:r>
              <w:rPr>
                <w:sz w:val="22"/>
                <w:szCs w:val="22"/>
              </w:rPr>
              <w:t>5.1</w:t>
              <w:tab/>
              <w:tab/>
              <w:t>A total of 9 races including the Invitation Race are scheduled.</w:t>
            </w:r>
          </w:p>
          <w:p>
            <w:pPr>
              <w:pStyle w:val="Normal"/>
              <w:widowControl w:val="false"/>
              <w:tabs>
                <w:tab w:val="clear" w:pos="720"/>
                <w:tab w:val="left" w:pos="623" w:leader="none"/>
              </w:tabs>
              <w:ind w:left="709" w:hanging="709"/>
              <w:rPr>
                <w:sz w:val="22"/>
                <w:szCs w:val="22"/>
              </w:rPr>
            </w:pPr>
            <w:r>
              <w:rPr>
                <w:sz w:val="22"/>
                <w:szCs w:val="22"/>
              </w:rPr>
            </w:r>
          </w:p>
          <w:tbl>
            <w:tblPr>
              <w:tblW w:w="9178" w:type="dxa"/>
              <w:jc w:val="left"/>
              <w:tblInd w:w="477" w:type="dxa"/>
              <w:tblLayout w:type="fixed"/>
              <w:tblCellMar>
                <w:top w:w="0" w:type="dxa"/>
                <w:left w:w="108" w:type="dxa"/>
                <w:bottom w:w="0" w:type="dxa"/>
                <w:right w:w="108" w:type="dxa"/>
              </w:tblCellMar>
              <w:tblLook w:val="01e0" w:noHBand="0" w:noVBand="0" w:firstColumn="1" w:lastRow="1" w:lastColumn="1" w:firstRow="1"/>
            </w:tblPr>
            <w:tblGrid>
              <w:gridCol w:w="3037"/>
              <w:gridCol w:w="6140"/>
            </w:tblGrid>
            <w:tr>
              <w:trPr>
                <w:trHeight w:val="288" w:hRule="atLeast"/>
              </w:trPr>
              <w:tc>
                <w:tcPr>
                  <w:tcW w:w="3037" w:type="dxa"/>
                  <w:tcBorders/>
                </w:tcPr>
                <w:p>
                  <w:pPr>
                    <w:pStyle w:val="Normal"/>
                    <w:widowControl w:val="false"/>
                    <w:rPr>
                      <w:sz w:val="22"/>
                      <w:szCs w:val="22"/>
                    </w:rPr>
                  </w:pPr>
                  <w:r>
                    <w:rPr>
                      <w:sz w:val="22"/>
                      <w:szCs w:val="22"/>
                    </w:rPr>
                    <w:tab/>
                    <w:t>Date</w:t>
                  </w:r>
                </w:p>
              </w:tc>
              <w:tc>
                <w:tcPr>
                  <w:tcW w:w="6140" w:type="dxa"/>
                  <w:tcBorders/>
                </w:tcPr>
                <w:p>
                  <w:pPr>
                    <w:pStyle w:val="Normal"/>
                    <w:widowControl w:val="false"/>
                    <w:ind w:left="12" w:hanging="0"/>
                    <w:rPr>
                      <w:sz w:val="22"/>
                      <w:szCs w:val="22"/>
                    </w:rPr>
                  </w:pPr>
                  <w:r>
                    <w:rPr>
                      <w:sz w:val="22"/>
                      <w:szCs w:val="22"/>
                    </w:rPr>
                    <w:t>Start Times</w:t>
                  </w:r>
                </w:p>
              </w:tc>
            </w:tr>
            <w:tr>
              <w:trPr>
                <w:trHeight w:val="3254" w:hRule="atLeast"/>
              </w:trPr>
              <w:tc>
                <w:tcPr>
                  <w:tcW w:w="3037" w:type="dxa"/>
                  <w:tcBorders/>
                </w:tcPr>
                <w:p>
                  <w:pPr>
                    <w:pStyle w:val="Normal"/>
                    <w:widowControl w:val="false"/>
                    <w:tabs>
                      <w:tab w:val="clear" w:pos="720"/>
                      <w:tab w:val="left" w:pos="2340" w:leader="none"/>
                      <w:tab w:val="left" w:pos="3330" w:leader="none"/>
                    </w:tabs>
                    <w:spacing w:lineRule="exact" w:line="220"/>
                    <w:ind w:right="135" w:hanging="0"/>
                    <w:rPr>
                      <w:rFonts w:cs="Arial"/>
                      <w:sz w:val="22"/>
                      <w:szCs w:val="22"/>
                      <w:lang w:val="en-US"/>
                    </w:rPr>
                  </w:pPr>
                  <w:r>
                    <w:rPr>
                      <w:rFonts w:cs="Arial"/>
                      <w:sz w:val="22"/>
                      <w:szCs w:val="22"/>
                      <w:lang w:val="en-US"/>
                    </w:rPr>
                  </w:r>
                </w:p>
                <w:p>
                  <w:pPr>
                    <w:pStyle w:val="Normal"/>
                    <w:widowControl w:val="false"/>
                    <w:tabs>
                      <w:tab w:val="clear" w:pos="720"/>
                      <w:tab w:val="left" w:pos="2340" w:leader="none"/>
                      <w:tab w:val="left" w:pos="3330" w:leader="none"/>
                    </w:tabs>
                    <w:spacing w:lineRule="exact" w:line="220"/>
                    <w:ind w:right="135" w:hanging="0"/>
                    <w:rPr>
                      <w:rFonts w:cs="Arial"/>
                      <w:sz w:val="22"/>
                      <w:szCs w:val="22"/>
                      <w:lang w:val="en-US"/>
                    </w:rPr>
                  </w:pPr>
                  <w:r>
                    <w:rPr>
                      <w:rFonts w:cs="Arial"/>
                      <w:sz w:val="22"/>
                      <w:szCs w:val="22"/>
                      <w:lang w:val="en-US"/>
                    </w:rPr>
                    <w:t xml:space="preserve">        </w:t>
                  </w:r>
                  <w:r>
                    <w:rPr>
                      <w:rFonts w:cs="Arial"/>
                      <w:sz w:val="22"/>
                      <w:szCs w:val="22"/>
                      <w:lang w:val="en-US"/>
                    </w:rPr>
                    <w:t>Thursday 11</w:t>
                  </w:r>
                  <w:r>
                    <w:rPr>
                      <w:rFonts w:cs="Arial"/>
                      <w:sz w:val="22"/>
                      <w:szCs w:val="22"/>
                      <w:vertAlign w:val="superscript"/>
                      <w:lang w:val="en-US"/>
                    </w:rPr>
                    <w:t>th</w:t>
                  </w:r>
                  <w:r>
                    <w:rPr>
                      <w:rFonts w:cs="Arial"/>
                      <w:sz w:val="22"/>
                      <w:szCs w:val="22"/>
                      <w:lang w:val="en-US"/>
                    </w:rPr>
                    <w:t xml:space="preserve"> </w:t>
                  </w:r>
                </w:p>
                <w:p>
                  <w:pPr>
                    <w:pStyle w:val="Normal"/>
                    <w:widowControl w:val="false"/>
                    <w:tabs>
                      <w:tab w:val="clear" w:pos="720"/>
                      <w:tab w:val="left" w:pos="2340" w:leader="none"/>
                      <w:tab w:val="left" w:pos="3330" w:leader="none"/>
                    </w:tabs>
                    <w:spacing w:lineRule="exact" w:line="220"/>
                    <w:ind w:right="135" w:hanging="0"/>
                    <w:rPr>
                      <w:rFonts w:cs="Arial"/>
                      <w:sz w:val="22"/>
                      <w:szCs w:val="22"/>
                      <w:lang w:val="en-US"/>
                    </w:rPr>
                  </w:pPr>
                  <w:r>
                    <w:rPr>
                      <w:rFonts w:cs="Arial"/>
                      <w:sz w:val="22"/>
                      <w:szCs w:val="22"/>
                      <w:lang w:val="en-US"/>
                    </w:rPr>
                  </w:r>
                </w:p>
                <w:p>
                  <w:pPr>
                    <w:pStyle w:val="Normal"/>
                    <w:widowControl w:val="false"/>
                    <w:tabs>
                      <w:tab w:val="clear" w:pos="720"/>
                      <w:tab w:val="left" w:pos="2340" w:leader="none"/>
                      <w:tab w:val="left" w:pos="3330" w:leader="none"/>
                    </w:tabs>
                    <w:spacing w:lineRule="exact" w:line="220"/>
                    <w:ind w:right="135" w:hanging="0"/>
                    <w:rPr>
                      <w:rFonts w:cs="Arial"/>
                      <w:sz w:val="22"/>
                      <w:szCs w:val="22"/>
                      <w:lang w:val="en-US"/>
                    </w:rPr>
                  </w:pPr>
                  <w:r>
                    <w:rPr>
                      <w:rFonts w:cs="Arial"/>
                      <w:sz w:val="22"/>
                      <w:szCs w:val="22"/>
                      <w:lang w:val="en-US"/>
                    </w:rPr>
                  </w:r>
                </w:p>
                <w:p>
                  <w:pPr>
                    <w:pStyle w:val="Normal"/>
                    <w:widowControl w:val="false"/>
                    <w:tabs>
                      <w:tab w:val="clear" w:pos="720"/>
                      <w:tab w:val="left" w:pos="2340" w:leader="none"/>
                      <w:tab w:val="left" w:pos="3330" w:leader="none"/>
                    </w:tabs>
                    <w:spacing w:lineRule="exact" w:line="220"/>
                    <w:ind w:right="135" w:hanging="0"/>
                    <w:rPr>
                      <w:rFonts w:cs="Arial"/>
                      <w:sz w:val="22"/>
                      <w:szCs w:val="22"/>
                      <w:lang w:val="en-US"/>
                    </w:rPr>
                  </w:pPr>
                  <w:r>
                    <w:rPr>
                      <w:rFonts w:cs="Arial"/>
                      <w:sz w:val="22"/>
                      <w:szCs w:val="22"/>
                      <w:lang w:val="en-US"/>
                    </w:rPr>
                  </w:r>
                </w:p>
                <w:p>
                  <w:pPr>
                    <w:pStyle w:val="Normal"/>
                    <w:widowControl w:val="false"/>
                    <w:tabs>
                      <w:tab w:val="clear" w:pos="720"/>
                      <w:tab w:val="left" w:pos="2340" w:leader="none"/>
                      <w:tab w:val="left" w:pos="3330" w:leader="none"/>
                    </w:tabs>
                    <w:spacing w:lineRule="exact" w:line="220"/>
                    <w:ind w:right="135" w:hanging="0"/>
                    <w:rPr>
                      <w:rFonts w:cs="Arial"/>
                      <w:sz w:val="22"/>
                      <w:szCs w:val="22"/>
                      <w:lang w:val="en-US"/>
                    </w:rPr>
                  </w:pPr>
                  <w:r>
                    <w:rPr>
                      <w:rFonts w:cs="Arial"/>
                      <w:sz w:val="22"/>
                      <w:szCs w:val="22"/>
                      <w:lang w:val="en-US"/>
                    </w:rPr>
                  </w:r>
                </w:p>
                <w:p>
                  <w:pPr>
                    <w:pStyle w:val="Normal"/>
                    <w:widowControl w:val="false"/>
                    <w:tabs>
                      <w:tab w:val="clear" w:pos="720"/>
                      <w:tab w:val="left" w:pos="2340" w:leader="none"/>
                      <w:tab w:val="left" w:pos="3330" w:leader="none"/>
                    </w:tabs>
                    <w:spacing w:lineRule="exact" w:line="220"/>
                    <w:ind w:right="135" w:hanging="0"/>
                    <w:rPr>
                      <w:rFonts w:cs="Arial"/>
                      <w:sz w:val="22"/>
                      <w:szCs w:val="22"/>
                      <w:lang w:val="en-US"/>
                    </w:rPr>
                  </w:pPr>
                  <w:r>
                    <w:rPr>
                      <w:rFonts w:cs="Arial"/>
                      <w:sz w:val="22"/>
                      <w:szCs w:val="22"/>
                      <w:lang w:val="en-US"/>
                    </w:rPr>
                  </w:r>
                </w:p>
                <w:p>
                  <w:pPr>
                    <w:pStyle w:val="Normal"/>
                    <w:widowControl w:val="false"/>
                    <w:tabs>
                      <w:tab w:val="clear" w:pos="720"/>
                      <w:tab w:val="left" w:pos="2340" w:leader="none"/>
                      <w:tab w:val="left" w:pos="3330" w:leader="none"/>
                    </w:tabs>
                    <w:spacing w:lineRule="exact" w:line="220"/>
                    <w:ind w:right="135" w:hanging="0"/>
                    <w:rPr>
                      <w:rFonts w:cs="Arial"/>
                      <w:sz w:val="22"/>
                      <w:szCs w:val="22"/>
                      <w:lang w:val="en-US"/>
                    </w:rPr>
                  </w:pPr>
                  <w:r>
                    <w:rPr>
                      <w:rFonts w:cs="Arial"/>
                      <w:sz w:val="22"/>
                      <w:szCs w:val="22"/>
                      <w:lang w:val="en-US"/>
                    </w:rPr>
                  </w:r>
                </w:p>
                <w:p>
                  <w:pPr>
                    <w:pStyle w:val="Normal"/>
                    <w:widowControl w:val="false"/>
                    <w:tabs>
                      <w:tab w:val="clear" w:pos="720"/>
                      <w:tab w:val="left" w:pos="2340" w:leader="none"/>
                      <w:tab w:val="left" w:pos="3330" w:leader="none"/>
                    </w:tabs>
                    <w:spacing w:lineRule="exact" w:line="220"/>
                    <w:ind w:right="135" w:hanging="0"/>
                    <w:rPr>
                      <w:rFonts w:cs="Arial"/>
                      <w:sz w:val="22"/>
                      <w:szCs w:val="22"/>
                      <w:lang w:val="en-US"/>
                    </w:rPr>
                  </w:pPr>
                  <w:r>
                    <w:rPr>
                      <w:rFonts w:cs="Arial"/>
                      <w:sz w:val="22"/>
                      <w:szCs w:val="22"/>
                      <w:lang w:val="en-US"/>
                    </w:rPr>
                    <w:t xml:space="preserve">         </w:t>
                  </w:r>
                  <w:r>
                    <w:rPr>
                      <w:rFonts w:cs="Arial"/>
                      <w:sz w:val="22"/>
                      <w:szCs w:val="22"/>
                      <w:lang w:val="en-US"/>
                    </w:rPr>
                    <w:t>Friday 12</w:t>
                  </w:r>
                  <w:r>
                    <w:rPr>
                      <w:rFonts w:cs="Arial"/>
                      <w:sz w:val="22"/>
                      <w:szCs w:val="22"/>
                      <w:vertAlign w:val="superscript"/>
                      <w:lang w:val="en-US"/>
                    </w:rPr>
                    <w:t>th</w:t>
                  </w:r>
                  <w:r>
                    <w:rPr>
                      <w:rFonts w:cs="Arial"/>
                      <w:sz w:val="22"/>
                      <w:szCs w:val="22"/>
                      <w:lang w:val="en-US"/>
                    </w:rPr>
                    <w:t xml:space="preserve"> </w:t>
                  </w:r>
                </w:p>
                <w:p>
                  <w:pPr>
                    <w:pStyle w:val="Normal"/>
                    <w:widowControl w:val="false"/>
                    <w:tabs>
                      <w:tab w:val="clear" w:pos="720"/>
                      <w:tab w:val="left" w:pos="2340" w:leader="none"/>
                      <w:tab w:val="left" w:pos="3330" w:leader="none"/>
                    </w:tabs>
                    <w:spacing w:lineRule="exact" w:line="220"/>
                    <w:ind w:right="135" w:hanging="0"/>
                    <w:rPr>
                      <w:rFonts w:cs="Arial"/>
                      <w:sz w:val="22"/>
                      <w:szCs w:val="22"/>
                      <w:lang w:val="en-US"/>
                    </w:rPr>
                  </w:pPr>
                  <w:r>
                    <w:rPr>
                      <w:rFonts w:cs="Arial"/>
                      <w:sz w:val="22"/>
                      <w:szCs w:val="22"/>
                      <w:lang w:val="en-US"/>
                    </w:rPr>
                  </w:r>
                </w:p>
                <w:p>
                  <w:pPr>
                    <w:pStyle w:val="Normal"/>
                    <w:widowControl w:val="false"/>
                    <w:tabs>
                      <w:tab w:val="clear" w:pos="720"/>
                      <w:tab w:val="left" w:pos="1814" w:leader="none"/>
                      <w:tab w:val="left" w:pos="2340" w:leader="none"/>
                      <w:tab w:val="left" w:pos="3330" w:leader="none"/>
                    </w:tabs>
                    <w:spacing w:lineRule="exact" w:line="220" w:before="113" w:after="0"/>
                    <w:ind w:right="135" w:hanging="0"/>
                    <w:rPr>
                      <w:rFonts w:cs="Arial"/>
                      <w:sz w:val="22"/>
                      <w:szCs w:val="22"/>
                      <w:lang w:val="en-US"/>
                    </w:rPr>
                  </w:pPr>
                  <w:r>
                    <w:rPr>
                      <w:rFonts w:cs="Arial"/>
                      <w:sz w:val="22"/>
                      <w:szCs w:val="22"/>
                      <w:lang w:val="en-US"/>
                    </w:rPr>
                    <w:t xml:space="preserve">         </w:t>
                  </w:r>
                  <w:r>
                    <w:rPr>
                      <w:rFonts w:cs="Arial"/>
                      <w:sz w:val="22"/>
                      <w:szCs w:val="22"/>
                      <w:lang w:val="en-US"/>
                    </w:rPr>
                    <w:t>Saturday 13</w:t>
                  </w:r>
                  <w:r>
                    <w:rPr>
                      <w:rFonts w:cs="Arial"/>
                      <w:sz w:val="22"/>
                      <w:szCs w:val="22"/>
                      <w:vertAlign w:val="superscript"/>
                      <w:lang w:val="en-US"/>
                    </w:rPr>
                    <w:t>th</w:t>
                  </w:r>
                  <w:r>
                    <w:rPr>
                      <w:rFonts w:cs="Arial"/>
                      <w:sz w:val="22"/>
                      <w:szCs w:val="22"/>
                      <w:lang w:val="en-US"/>
                    </w:rPr>
                    <w:t xml:space="preserve">        </w:t>
                  </w:r>
                </w:p>
                <w:p>
                  <w:pPr>
                    <w:pStyle w:val="Normal"/>
                    <w:widowControl w:val="false"/>
                    <w:tabs>
                      <w:tab w:val="clear" w:pos="720"/>
                      <w:tab w:val="left" w:pos="1814" w:leader="none"/>
                      <w:tab w:val="left" w:pos="2340" w:leader="none"/>
                      <w:tab w:val="left" w:pos="3330" w:leader="none"/>
                    </w:tabs>
                    <w:spacing w:lineRule="exact" w:line="220" w:before="113" w:after="0"/>
                    <w:ind w:right="135" w:hanging="0"/>
                    <w:rPr>
                      <w:rFonts w:cs="Arial"/>
                      <w:sz w:val="22"/>
                      <w:szCs w:val="22"/>
                      <w:lang w:val="en-US"/>
                    </w:rPr>
                  </w:pPr>
                  <w:r>
                    <w:rPr>
                      <w:rFonts w:cs="Arial"/>
                      <w:sz w:val="22"/>
                      <w:szCs w:val="22"/>
                      <w:lang w:val="en-US"/>
                    </w:rPr>
                  </w:r>
                </w:p>
                <w:p>
                  <w:pPr>
                    <w:pStyle w:val="Normal"/>
                    <w:widowControl w:val="false"/>
                    <w:rPr>
                      <w:rFonts w:cs="Arial"/>
                      <w:sz w:val="22"/>
                      <w:szCs w:val="22"/>
                      <w:vertAlign w:val="superscript"/>
                      <w:lang w:val="en-US"/>
                    </w:rPr>
                  </w:pPr>
                  <w:r>
                    <w:rPr>
                      <w:rFonts w:cs="Arial"/>
                      <w:sz w:val="22"/>
                      <w:szCs w:val="22"/>
                      <w:lang w:val="en-US"/>
                    </w:rPr>
                    <w:t xml:space="preserve">         </w:t>
                  </w:r>
                  <w:r>
                    <w:rPr>
                      <w:rFonts w:cs="Arial"/>
                      <w:sz w:val="22"/>
                      <w:szCs w:val="22"/>
                      <w:lang w:val="en-US"/>
                    </w:rPr>
                    <w:t>Sunday 14</w:t>
                  </w:r>
                  <w:r>
                    <w:rPr>
                      <w:rFonts w:cs="Arial"/>
                      <w:sz w:val="22"/>
                      <w:szCs w:val="22"/>
                      <w:vertAlign w:val="superscript"/>
                      <w:lang w:val="en-US"/>
                    </w:rPr>
                    <w:t>th</w:t>
                  </w:r>
                  <w:r>
                    <w:rPr>
                      <w:rFonts w:cs="Arial"/>
                      <w:sz w:val="22"/>
                      <w:szCs w:val="22"/>
                      <w:lang w:val="en-US"/>
                    </w:rPr>
                    <w:t xml:space="preserve"> </w:t>
                  </w:r>
                </w:p>
                <w:p>
                  <w:pPr>
                    <w:pStyle w:val="Normal"/>
                    <w:widowControl w:val="false"/>
                    <w:rPr>
                      <w:sz w:val="22"/>
                      <w:szCs w:val="22"/>
                    </w:rPr>
                  </w:pPr>
                  <w:r>
                    <w:rPr>
                      <w:sz w:val="22"/>
                      <w:szCs w:val="22"/>
                    </w:rPr>
                  </w:r>
                </w:p>
                <w:p>
                  <w:pPr>
                    <w:pStyle w:val="Normal"/>
                    <w:widowControl w:val="false"/>
                    <w:jc w:val="right"/>
                    <w:rPr>
                      <w:sz w:val="22"/>
                      <w:szCs w:val="22"/>
                    </w:rPr>
                  </w:pPr>
                  <w:r>
                    <w:rPr>
                      <w:sz w:val="22"/>
                      <w:szCs w:val="22"/>
                    </w:rPr>
                    <w:t xml:space="preserve"> </w:t>
                  </w:r>
                </w:p>
              </w:tc>
              <w:tc>
                <w:tcPr>
                  <w:tcW w:w="6140" w:type="dxa"/>
                  <w:tcBorders/>
                </w:tcPr>
                <w:p>
                  <w:pPr>
                    <w:pStyle w:val="Normal"/>
                    <w:widowControl w:val="false"/>
                    <w:ind w:left="12" w:hanging="0"/>
                    <w:rPr>
                      <w:sz w:val="22"/>
                      <w:szCs w:val="22"/>
                    </w:rPr>
                  </w:pPr>
                  <w:r>
                    <w:rPr>
                      <w:sz w:val="22"/>
                      <w:szCs w:val="22"/>
                    </w:rPr>
                  </w:r>
                </w:p>
                <w:p>
                  <w:pPr>
                    <w:pStyle w:val="Normal"/>
                    <w:widowControl w:val="false"/>
                    <w:ind w:left="12" w:hanging="0"/>
                    <w:rPr>
                      <w:sz w:val="22"/>
                      <w:szCs w:val="22"/>
                    </w:rPr>
                  </w:pPr>
                  <w:r>
                    <w:rPr>
                      <w:sz w:val="22"/>
                      <w:szCs w:val="22"/>
                    </w:rPr>
                    <w:t>0800  Registration</w:t>
                  </w:r>
                </w:p>
                <w:p>
                  <w:pPr>
                    <w:pStyle w:val="Normal"/>
                    <w:widowControl w:val="false"/>
                    <w:ind w:left="12" w:hanging="0"/>
                    <w:rPr>
                      <w:sz w:val="22"/>
                      <w:szCs w:val="22"/>
                    </w:rPr>
                  </w:pPr>
                  <w:r>
                    <w:rPr>
                      <w:sz w:val="22"/>
                      <w:szCs w:val="22"/>
                    </w:rPr>
                    <w:t>0930 Briefing</w:t>
                    <w:tab/>
                  </w:r>
                </w:p>
                <w:p>
                  <w:pPr>
                    <w:pStyle w:val="Normal"/>
                    <w:widowControl w:val="false"/>
                    <w:ind w:left="12" w:hanging="0"/>
                    <w:rPr>
                      <w:sz w:val="22"/>
                      <w:szCs w:val="22"/>
                    </w:rPr>
                  </w:pPr>
                  <w:r>
                    <w:rPr>
                      <w:sz w:val="22"/>
                      <w:szCs w:val="22"/>
                    </w:rPr>
                    <w:t>1100 Invitation and Race 1</w:t>
                  </w:r>
                </w:p>
                <w:p>
                  <w:pPr>
                    <w:pStyle w:val="Normal"/>
                    <w:widowControl w:val="false"/>
                    <w:ind w:left="12" w:hanging="0"/>
                    <w:rPr>
                      <w:sz w:val="22"/>
                      <w:szCs w:val="22"/>
                    </w:rPr>
                  </w:pPr>
                  <w:r>
                    <w:rPr>
                      <w:sz w:val="22"/>
                      <w:szCs w:val="22"/>
                    </w:rPr>
                    <w:t>1400 Race 2 with Race 3 Back to back</w:t>
                  </w:r>
                </w:p>
                <w:p>
                  <w:pPr>
                    <w:pStyle w:val="Normal"/>
                    <w:widowControl w:val="false"/>
                    <w:ind w:left="12" w:hanging="0"/>
                    <w:rPr>
                      <w:sz w:val="22"/>
                      <w:szCs w:val="22"/>
                    </w:rPr>
                  </w:pPr>
                  <w:r>
                    <w:rPr>
                      <w:sz w:val="22"/>
                      <w:szCs w:val="22"/>
                    </w:rPr>
                  </w:r>
                </w:p>
                <w:p>
                  <w:pPr>
                    <w:pStyle w:val="Normal"/>
                    <w:widowControl w:val="false"/>
                    <w:rPr>
                      <w:rFonts w:cs="Arial"/>
                      <w:sz w:val="22"/>
                      <w:szCs w:val="22"/>
                    </w:rPr>
                  </w:pPr>
                  <w:r>
                    <w:rPr>
                      <w:rFonts w:cs="Arial"/>
                      <w:sz w:val="22"/>
                      <w:szCs w:val="22"/>
                    </w:rPr>
                  </w:r>
                </w:p>
                <w:p>
                  <w:pPr>
                    <w:pStyle w:val="Normal"/>
                    <w:widowControl w:val="false"/>
                    <w:rPr>
                      <w:rFonts w:cs="Arial"/>
                      <w:sz w:val="22"/>
                      <w:szCs w:val="22"/>
                    </w:rPr>
                  </w:pPr>
                  <w:r>
                    <w:rPr>
                      <w:rFonts w:cs="Arial"/>
                      <w:sz w:val="22"/>
                      <w:szCs w:val="22"/>
                    </w:rPr>
                    <w:t xml:space="preserve">1100  </w:t>
                  </w:r>
                </w:p>
                <w:p>
                  <w:pPr>
                    <w:pStyle w:val="Normal"/>
                    <w:widowControl w:val="false"/>
                    <w:ind w:left="12" w:hanging="0"/>
                    <w:rPr>
                      <w:sz w:val="22"/>
                      <w:szCs w:val="22"/>
                    </w:rPr>
                  </w:pPr>
                  <w:r>
                    <w:rPr>
                      <w:sz w:val="22"/>
                      <w:szCs w:val="22"/>
                    </w:rPr>
                  </w:r>
                </w:p>
                <w:p>
                  <w:pPr>
                    <w:pStyle w:val="Normal"/>
                    <w:widowControl w:val="false"/>
                    <w:ind w:left="12" w:hanging="0"/>
                    <w:rPr>
                      <w:sz w:val="22"/>
                      <w:szCs w:val="22"/>
                    </w:rPr>
                  </w:pPr>
                  <w:r>
                    <w:rPr>
                      <w:sz w:val="22"/>
                      <w:szCs w:val="22"/>
                    </w:rPr>
                    <w:t xml:space="preserve">1100 </w:t>
                  </w:r>
                </w:p>
                <w:p>
                  <w:pPr>
                    <w:pStyle w:val="Normal"/>
                    <w:widowControl w:val="false"/>
                    <w:ind w:left="12" w:hanging="0"/>
                    <w:rPr>
                      <w:sz w:val="22"/>
                      <w:szCs w:val="22"/>
                    </w:rPr>
                  </w:pPr>
                  <w:r>
                    <w:rPr>
                      <w:sz w:val="22"/>
                      <w:szCs w:val="22"/>
                    </w:rPr>
                  </w:r>
                </w:p>
                <w:p>
                  <w:pPr>
                    <w:pStyle w:val="Normal"/>
                    <w:widowControl w:val="false"/>
                    <w:ind w:left="12" w:hanging="0"/>
                    <w:rPr>
                      <w:sz w:val="22"/>
                      <w:szCs w:val="22"/>
                    </w:rPr>
                  </w:pPr>
                  <w:r>
                    <w:rPr>
                      <w:sz w:val="22"/>
                      <w:szCs w:val="22"/>
                    </w:rPr>
                    <w:t>1100 Championship race (if required)</w:t>
                  </w:r>
                </w:p>
                <w:p>
                  <w:pPr>
                    <w:pStyle w:val="Normal"/>
                    <w:widowControl w:val="false"/>
                    <w:ind w:left="12" w:hanging="0"/>
                    <w:rPr>
                      <w:sz w:val="22"/>
                      <w:szCs w:val="22"/>
                    </w:rPr>
                  </w:pPr>
                  <w:r>
                    <w:rPr>
                      <w:sz w:val="22"/>
                      <w:szCs w:val="22"/>
                    </w:rPr>
                    <w:t xml:space="preserve">         </w:t>
                  </w:r>
                  <w:r>
                    <w:rPr>
                      <w:sz w:val="22"/>
                      <w:szCs w:val="22"/>
                    </w:rPr>
                    <w:t>Followed by Sprint Series</w:t>
                  </w:r>
                </w:p>
              </w:tc>
            </w:tr>
          </w:tbl>
          <w:p>
            <w:pPr>
              <w:pStyle w:val="Normal"/>
              <w:widowControl w:val="false"/>
              <w:ind w:left="709" w:hanging="709"/>
              <w:rPr>
                <w:i/>
                <w:i/>
                <w:sz w:val="22"/>
                <w:szCs w:val="22"/>
              </w:rPr>
            </w:pPr>
            <w:r>
              <w:rPr>
                <w:i/>
                <w:sz w:val="22"/>
                <w:szCs w:val="22"/>
              </w:rPr>
            </w:r>
          </w:p>
        </w:tc>
      </w:tr>
      <w:tr>
        <w:trPr>
          <w:cantSplit w:val="true"/>
        </w:trPr>
        <w:tc>
          <w:tcPr>
            <w:tcW w:w="9120" w:type="dxa"/>
            <w:tcBorders/>
          </w:tcPr>
          <w:p>
            <w:pPr>
              <w:pStyle w:val="Normal"/>
              <w:widowControl w:val="false"/>
              <w:ind w:left="766" w:hanging="754"/>
              <w:rPr>
                <w:sz w:val="22"/>
                <w:szCs w:val="22"/>
              </w:rPr>
            </w:pPr>
            <w:r>
              <w:rPr>
                <w:sz w:val="22"/>
                <w:szCs w:val="22"/>
              </w:rPr>
              <w:t xml:space="preserve">5.2 </w:t>
              <w:tab/>
              <w:t>Up to three races with no more than two races back to back are scheduled per day from Thursday 20</w:t>
            </w:r>
            <w:r>
              <w:rPr>
                <w:sz w:val="22"/>
                <w:szCs w:val="22"/>
                <w:vertAlign w:val="superscript"/>
              </w:rPr>
              <w:t>th</w:t>
            </w:r>
            <w:r>
              <w:rPr>
                <w:sz w:val="22"/>
                <w:szCs w:val="22"/>
              </w:rPr>
              <w:t xml:space="preserve"> to Sunday 23</w:t>
            </w:r>
            <w:r>
              <w:rPr>
                <w:sz w:val="22"/>
                <w:szCs w:val="22"/>
                <w:vertAlign w:val="superscript"/>
              </w:rPr>
              <w:t>rd</w:t>
            </w:r>
            <w:r>
              <w:rPr>
                <w:sz w:val="22"/>
                <w:szCs w:val="22"/>
              </w:rPr>
              <w:t>.</w:t>
            </w:r>
          </w:p>
          <w:p>
            <w:pPr>
              <w:pStyle w:val="Normal"/>
              <w:widowControl w:val="false"/>
              <w:ind w:left="766" w:hanging="754"/>
              <w:rPr>
                <w:sz w:val="22"/>
                <w:szCs w:val="22"/>
              </w:rPr>
            </w:pPr>
            <w:r>
              <w:rPr>
                <w:sz w:val="22"/>
                <w:szCs w:val="22"/>
              </w:rPr>
            </w:r>
          </w:p>
          <w:p>
            <w:pPr>
              <w:pStyle w:val="Normal"/>
              <w:widowControl w:val="false"/>
              <w:ind w:left="766" w:hanging="754"/>
              <w:rPr>
                <w:sz w:val="22"/>
                <w:szCs w:val="22"/>
              </w:rPr>
            </w:pPr>
            <w:r>
              <w:rPr>
                <w:sz w:val="22"/>
                <w:szCs w:val="22"/>
              </w:rPr>
              <w:t>5.3</w:t>
              <w:tab/>
            </w:r>
            <w:r>
              <w:rPr>
                <w:rFonts w:cs="Arial"/>
                <w:sz w:val="22"/>
                <w:szCs w:val="22"/>
              </w:rPr>
              <w:t>The scheduled time of the warning signal for the first race on Friday, Saturday and Sunday is 10.55 hrs. It is the intention of the organisers to manage racing, including race start times, to maximise the number of races sailed in 12 to 18 knot wind strengths.</w:t>
            </w:r>
          </w:p>
          <w:p>
            <w:pPr>
              <w:pStyle w:val="Normal"/>
              <w:widowControl w:val="false"/>
              <w:rPr>
                <w:sz w:val="22"/>
                <w:szCs w:val="22"/>
              </w:rPr>
            </w:pPr>
            <w:r>
              <w:rPr>
                <w:sz w:val="22"/>
                <w:szCs w:val="22"/>
              </w:rPr>
            </w:r>
          </w:p>
          <w:p>
            <w:pPr>
              <w:pStyle w:val="Normal"/>
              <w:widowControl w:val="false"/>
              <w:rPr>
                <w:sz w:val="22"/>
                <w:szCs w:val="22"/>
              </w:rPr>
            </w:pPr>
            <w:r>
              <w:rPr>
                <w:sz w:val="22"/>
                <w:szCs w:val="22"/>
              </w:rPr>
              <w:t>5.4</w:t>
              <w:tab/>
              <w:t xml:space="preserve">The warning signal for a back to back race on the same day will be made as soon as practicable but </w:t>
              <w:tab/>
              <w:t>not sooner than 5 minutes after the last boat finishes the previous race.</w:t>
            </w:r>
          </w:p>
          <w:p>
            <w:pPr>
              <w:pStyle w:val="Normal"/>
              <w:widowControl w:val="false"/>
              <w:rPr>
                <w:sz w:val="22"/>
                <w:szCs w:val="22"/>
              </w:rPr>
            </w:pPr>
            <w:r>
              <w:rPr>
                <w:sz w:val="22"/>
                <w:szCs w:val="22"/>
              </w:rPr>
            </w:r>
          </w:p>
          <w:p>
            <w:pPr>
              <w:pStyle w:val="BodyTextIndent2"/>
              <w:widowControl w:val="false"/>
              <w:ind w:left="709" w:hanging="709"/>
              <w:rPr>
                <w:rFonts w:ascii="Arial Narrow" w:hAnsi="Arial Narrow"/>
                <w:szCs w:val="22"/>
              </w:rPr>
            </w:pPr>
            <w:r>
              <w:rPr>
                <w:rFonts w:ascii="Arial Narrow" w:hAnsi="Arial Narrow"/>
                <w:szCs w:val="22"/>
              </w:rPr>
              <w:t>5.5</w:t>
              <w:tab/>
              <w:t>No National Championship race on Sunday 14</w:t>
            </w:r>
            <w:r>
              <w:rPr>
                <w:rFonts w:ascii="Arial Narrow" w:hAnsi="Arial Narrow"/>
                <w:szCs w:val="22"/>
                <w:vertAlign w:val="superscript"/>
              </w:rPr>
              <w:t>th</w:t>
            </w:r>
            <w:r>
              <w:rPr>
                <w:rFonts w:ascii="Arial Narrow" w:hAnsi="Arial Narrow"/>
                <w:szCs w:val="22"/>
              </w:rPr>
              <w:t xml:space="preserve"> February shall start after 1500.</w:t>
            </w:r>
          </w:p>
          <w:p>
            <w:pPr>
              <w:pStyle w:val="BodyTextIndent2"/>
              <w:widowControl w:val="false"/>
              <w:ind w:left="709" w:hanging="709"/>
              <w:rPr>
                <w:rFonts w:ascii="Arial Narrow" w:hAnsi="Arial Narrow"/>
                <w:szCs w:val="22"/>
              </w:rPr>
            </w:pPr>
            <w:r>
              <w:rPr>
                <w:rFonts w:ascii="Arial Narrow" w:hAnsi="Arial Narrow"/>
                <w:szCs w:val="22"/>
              </w:rPr>
            </w:r>
          </w:p>
          <w:p>
            <w:pPr>
              <w:pStyle w:val="Normal"/>
              <w:widowControl w:val="false"/>
              <w:rPr>
                <w:rFonts w:eastAsia="" w:cs="Arial" w:eastAsiaTheme="minorEastAsia"/>
                <w:sz w:val="22"/>
                <w:szCs w:val="22"/>
                <w:lang w:val="en-US" w:eastAsia="en-US"/>
              </w:rPr>
            </w:pPr>
            <w:r>
              <w:rPr>
                <w:sz w:val="22"/>
                <w:szCs w:val="22"/>
              </w:rPr>
              <w:t>5.6</w:t>
              <w:tab/>
            </w:r>
            <w:r>
              <w:rPr>
                <w:rFonts w:eastAsia="" w:cs="Arial" w:eastAsiaTheme="minorEastAsia"/>
                <w:sz w:val="22"/>
                <w:szCs w:val="22"/>
                <w:lang w:val="en-US" w:eastAsia="en-US"/>
              </w:rPr>
              <w:t>A separate Super-Cup Sprint Series will be run on Sunday 14</w:t>
            </w:r>
            <w:r>
              <w:rPr>
                <w:rFonts w:eastAsia="" w:cs="Arial" w:eastAsiaTheme="minorEastAsia"/>
                <w:sz w:val="22"/>
                <w:szCs w:val="22"/>
                <w:vertAlign w:val="superscript"/>
                <w:lang w:val="en-US" w:eastAsia="en-US"/>
              </w:rPr>
              <w:t>th</w:t>
            </w:r>
            <w:r>
              <w:rPr>
                <w:rFonts w:eastAsia="" w:cs="Arial" w:eastAsiaTheme="minorEastAsia"/>
                <w:sz w:val="22"/>
                <w:szCs w:val="22"/>
                <w:lang w:val="en-US" w:eastAsia="en-US"/>
              </w:rPr>
              <w:t xml:space="preserve"> February after National </w:t>
              <w:tab/>
              <w:t>Championship racing is finished for the day.</w:t>
            </w:r>
          </w:p>
          <w:p>
            <w:pPr>
              <w:pStyle w:val="BodyTextIndent2"/>
              <w:widowControl w:val="false"/>
              <w:ind w:left="709" w:hanging="709"/>
              <w:rPr>
                <w:rFonts w:ascii="Arial Narrow" w:hAnsi="Arial Narrow"/>
                <w:szCs w:val="22"/>
              </w:rPr>
            </w:pPr>
            <w:r>
              <w:rPr>
                <w:rFonts w:ascii="Arial Narrow" w:hAnsi="Arial Narrow"/>
                <w:szCs w:val="22"/>
              </w:rPr>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ParaHeading"/>
              <w:widowControl w:val="false"/>
              <w:spacing w:before="240" w:after="240"/>
              <w:ind w:left="709" w:hanging="709"/>
              <w:rPr>
                <w:rFonts w:ascii="Arial Narrow" w:hAnsi="Arial Narrow"/>
              </w:rPr>
            </w:pPr>
            <w:r>
              <w:rPr/>
              <w:t>6.0</w:t>
              <w:tab/>
              <w:t>Class Flag</w:t>
            </w:r>
          </w:p>
        </w:tc>
      </w:tr>
      <w:tr>
        <w:trPr>
          <w:trHeight w:val="565" w:hRule="atLeast"/>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The Class flag will be Code Flag “R”</w:t>
            </w:r>
          </w:p>
          <w:p>
            <w:pPr>
              <w:pStyle w:val="BodyTextIndent2"/>
              <w:widowControl w:val="false"/>
              <w:tabs>
                <w:tab w:val="clear" w:pos="720"/>
                <w:tab w:val="left" w:pos="2869" w:leader="none"/>
              </w:tabs>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ParaHeading"/>
              <w:widowControl w:val="false"/>
              <w:spacing w:before="240" w:after="240"/>
              <w:ind w:left="709" w:hanging="709"/>
              <w:rPr>
                <w:rFonts w:ascii="Arial Narrow" w:hAnsi="Arial Narrow"/>
              </w:rPr>
            </w:pPr>
            <w:r>
              <w:rPr/>
              <w:t>7.0</w:t>
              <w:tab/>
              <w:t>Racing Areas</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The racing area is on the waters of Lyttelton Harbour.</w:t>
            </w:r>
          </w:p>
          <w:p>
            <w:pPr>
              <w:pStyle w:val="BodyTextIndent2"/>
              <w:widowControl w:val="false"/>
              <w:tabs>
                <w:tab w:val="clear" w:pos="720"/>
                <w:tab w:val="left" w:pos="623" w:leader="none"/>
              </w:tabs>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ParaHeading"/>
              <w:widowControl w:val="false"/>
              <w:spacing w:before="240" w:after="240"/>
              <w:ind w:left="709" w:hanging="709"/>
              <w:rPr/>
            </w:pPr>
            <w:r>
              <w:rPr/>
              <w:t>8.0</w:t>
              <w:tab/>
              <w:t>The Courses</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8.1</w:t>
              <w:tab/>
              <w:t xml:space="preserve">The diagrams in Attachment A show the course for the first boat to finish, including the approximate angles between legs, the order in which marks are to be passed, and the side on which each mark is to be left.  </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8.2</w:t>
              <w:tab/>
              <w:t>Boats will finish the first time they cross the finish line in the direction of the course, after rounding Mark 1 and after the first boat completes the course and finishes.</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ParaHeading"/>
              <w:widowControl w:val="false"/>
              <w:spacing w:before="240" w:after="240"/>
              <w:ind w:left="709" w:hanging="709"/>
              <w:rPr>
                <w:rFonts w:ascii="Arial Narrow" w:hAnsi="Arial Narrow"/>
                <w:bCs/>
              </w:rPr>
            </w:pPr>
            <w:r>
              <w:rPr>
                <w:bCs/>
                <w:caps w:val="false"/>
                <w:smallCaps w:val="false"/>
              </w:rPr>
              <w:t>9</w:t>
            </w:r>
            <w:r>
              <w:rPr>
                <w:bCs/>
              </w:rPr>
              <w:t>.0</w:t>
              <w:tab/>
              <w:t>Marks</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9.1</w:t>
              <w:tab/>
              <w:t>Marks 1 and 2 will be red, triangular buoys.</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9.2</w:t>
              <w:tab/>
              <w:t>New marks, as provided in instruction 12.1, will be yellow, cylindrical buoys.</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9.3</w:t>
              <w:tab/>
              <w:t>The starting marks will be the race committee boat at one end and a small red spherical buoy at the other.</w:t>
            </w:r>
          </w:p>
          <w:p>
            <w:pPr>
              <w:pStyle w:val="BodyTextIndent2"/>
              <w:widowControl w:val="false"/>
              <w:ind w:left="709" w:hanging="709"/>
              <w:rPr>
                <w:rFonts w:ascii="Arial Narrow" w:hAnsi="Arial Narrow"/>
                <w:szCs w:val="22"/>
              </w:rPr>
            </w:pPr>
            <w:r>
              <w:rPr>
                <w:rFonts w:ascii="Arial Narrow" w:hAnsi="Arial Narrow"/>
                <w:szCs w:val="22"/>
              </w:rPr>
            </w:r>
          </w:p>
          <w:p>
            <w:pPr>
              <w:pStyle w:val="BodyTextIndent2"/>
              <w:widowControl w:val="false"/>
              <w:ind w:left="709" w:hanging="709"/>
              <w:rPr>
                <w:rFonts w:ascii="Arial Narrow" w:hAnsi="Arial Narrow"/>
                <w:szCs w:val="22"/>
              </w:rPr>
            </w:pPr>
            <w:r>
              <w:rPr>
                <w:rFonts w:ascii="Arial Narrow" w:hAnsi="Arial Narrow"/>
                <w:szCs w:val="22"/>
              </w:rPr>
              <w:t>9.4</w:t>
              <w:tab/>
              <w:t>The finishing marks will be the race committee boat at one end and mark 2 at the other.</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9. 5</w:t>
              <w:tab/>
              <w:t>A race committee boat signalling a change in course is a mark as provided in instruction 12.2.</w:t>
            </w:r>
          </w:p>
          <w:p>
            <w:pPr>
              <w:pStyle w:val="BodyTextIndent2"/>
              <w:widowControl w:val="false"/>
              <w:ind w:left="709" w:hanging="709"/>
              <w:rPr>
                <w:rFonts w:ascii="Arial Narrow" w:hAnsi="Arial Narrow"/>
                <w:szCs w:val="22"/>
              </w:rPr>
            </w:pPr>
            <w:r>
              <w:rPr>
                <w:rFonts w:ascii="Arial Narrow" w:hAnsi="Arial Narrow"/>
                <w:szCs w:val="22"/>
              </w:rPr>
              <w:t xml:space="preserve">       </w:t>
            </w:r>
          </w:p>
        </w:tc>
      </w:tr>
      <w:tr>
        <w:trPr>
          <w:cantSplit w:val="true"/>
        </w:trPr>
        <w:tc>
          <w:tcPr>
            <w:tcW w:w="9120" w:type="dxa"/>
            <w:tcBorders/>
          </w:tcPr>
          <w:p>
            <w:pPr>
              <w:pStyle w:val="ParaHeading"/>
              <w:widowControl w:val="false"/>
              <w:spacing w:before="240" w:after="240"/>
              <w:ind w:left="709" w:hanging="709"/>
              <w:rPr/>
            </w:pPr>
            <w:r>
              <w:rPr/>
              <w:t>10.0    Areas that are Obstructions</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The following areas are designated as obstructions:</w:t>
            </w:r>
          </w:p>
          <w:p>
            <w:pPr>
              <w:pStyle w:val="BodyTextIndent2"/>
              <w:widowControl w:val="false"/>
              <w:numPr>
                <w:ilvl w:val="0"/>
                <w:numId w:val="5"/>
              </w:numPr>
              <w:spacing w:before="120" w:after="0"/>
              <w:ind w:left="714" w:hanging="357"/>
              <w:rPr>
                <w:rFonts w:ascii="Arial Narrow" w:hAnsi="Arial Narrow"/>
                <w:szCs w:val="22"/>
              </w:rPr>
            </w:pPr>
            <w:r>
              <w:rPr>
                <w:rFonts w:ascii="Arial Narrow" w:hAnsi="Arial Narrow"/>
                <w:szCs w:val="22"/>
              </w:rPr>
              <w:t>Lyttelton Harbour Shipping Channel when being used by ships.</w:t>
            </w:r>
          </w:p>
          <w:p>
            <w:pPr>
              <w:pStyle w:val="BodyTextIndent2"/>
              <w:widowControl w:val="false"/>
              <w:numPr>
                <w:ilvl w:val="0"/>
                <w:numId w:val="5"/>
              </w:numPr>
              <w:spacing w:before="120" w:after="0"/>
              <w:ind w:left="714" w:hanging="357"/>
              <w:rPr>
                <w:rFonts w:ascii="Arial Narrow" w:hAnsi="Arial Narrow"/>
                <w:sz w:val="24"/>
              </w:rPr>
            </w:pPr>
            <w:r>
              <w:rPr>
                <w:rFonts w:ascii="Arial Narrow" w:hAnsi="Arial Narrow"/>
                <w:szCs w:val="22"/>
              </w:rPr>
              <w:t>Shag Reef between the Western and the Eastern Cardinal marks.</w:t>
            </w:r>
          </w:p>
        </w:tc>
      </w:tr>
      <w:tr>
        <w:trPr>
          <w:cantSplit w:val="true"/>
        </w:trPr>
        <w:tc>
          <w:tcPr>
            <w:tcW w:w="9120" w:type="dxa"/>
            <w:tcBorders/>
          </w:tcPr>
          <w:p>
            <w:pPr>
              <w:pStyle w:val="ParaHeading"/>
              <w:widowControl w:val="false"/>
              <w:spacing w:before="240" w:after="240"/>
              <w:ind w:left="709" w:hanging="709"/>
              <w:rPr/>
            </w:pPr>
            <w:r>
              <w:rPr/>
              <w:t>11.0</w:t>
              <w:tab/>
              <w:t>The Start</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11.1</w:t>
              <w:tab/>
              <w:t>The starting line will be between a staff displaying an orange flag on the starting mark at the starboard end and the port-end starting mark.</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11.2</w:t>
              <w:tab/>
              <w:t>For subsequent races on the same day the scheduled time of the warning signal for the next race will be displayed with flag L as soon as possible after the finish of the preceding race.</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11.3</w:t>
              <w:tab/>
              <w:t xml:space="preserve">A boat starting later than </w:t>
            </w:r>
            <w:r>
              <w:rPr>
                <w:rFonts w:ascii="Arial Narrow" w:hAnsi="Arial Narrow"/>
                <w:szCs w:val="22"/>
              </w:rPr>
              <w:t>10</w:t>
            </w:r>
            <w:r>
              <w:rPr>
                <w:rFonts w:ascii="Arial Narrow" w:hAnsi="Arial Narrow"/>
                <w:szCs w:val="22"/>
              </w:rPr>
              <w:t xml:space="preserve"> minutes after her starting signal will be scored Did Not Start without a hearing. This changes rules A4, Low Point System and A5, Scores Determined By The Race Committee. </w:t>
            </w:r>
          </w:p>
        </w:tc>
      </w:tr>
      <w:tr>
        <w:trPr>
          <w:cantSplit w:val="true"/>
        </w:trPr>
        <w:tc>
          <w:tcPr>
            <w:tcW w:w="9120" w:type="dxa"/>
            <w:tcBorders/>
          </w:tcPr>
          <w:p>
            <w:pPr>
              <w:pStyle w:val="ParaHeading"/>
              <w:widowControl w:val="false"/>
              <w:spacing w:before="240" w:after="240"/>
              <w:ind w:left="709" w:hanging="709"/>
              <w:rPr/>
            </w:pPr>
            <w:r>
              <w:rPr/>
              <w:t>12.0</w:t>
              <w:tab/>
              <w:t>Change of the Next Leg of the Course</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12.1</w:t>
              <w:tab/>
              <w:t>To change the next leg of the course, the race committee will lay a new mark (or move the finishing line) and remove the original mark as soon as practicable. When in a subsequent change a new mark is replaced, it will be replaced by an original mark.</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12.2</w:t>
              <w:tab/>
              <w:t xml:space="preserve">Boats shall pass between the race committee boat signalling the change of next leg and the nearby mark, leaving the mark to port and the race committee boat to starboard.  This changes rule 28 </w:t>
            </w:r>
            <w:r>
              <w:rPr>
                <w:rFonts w:ascii="Arial Narrow" w:hAnsi="Arial Narrow"/>
                <w:i/>
                <w:szCs w:val="22"/>
              </w:rPr>
              <w:t>Sailing the Course</w:t>
            </w:r>
            <w:r>
              <w:rPr>
                <w:rFonts w:ascii="Arial Narrow" w:hAnsi="Arial Narrow"/>
                <w:szCs w:val="22"/>
              </w:rPr>
              <w:t>.</w:t>
            </w:r>
          </w:p>
        </w:tc>
      </w:tr>
      <w:tr>
        <w:trPr>
          <w:cantSplit w:val="true"/>
        </w:trPr>
        <w:tc>
          <w:tcPr>
            <w:tcW w:w="9120" w:type="dxa"/>
            <w:tcBorders/>
          </w:tcPr>
          <w:p>
            <w:pPr>
              <w:pStyle w:val="ParaHeading"/>
              <w:widowControl w:val="false"/>
              <w:spacing w:before="240" w:after="240"/>
              <w:ind w:left="709" w:hanging="709"/>
              <w:rPr/>
            </w:pPr>
            <w:r>
              <w:rPr/>
              <w:t>13.0</w:t>
              <w:tab/>
              <w:t>The Finish</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 w:val="24"/>
              </w:rPr>
              <w:tab/>
            </w:r>
            <w:r>
              <w:rPr>
                <w:rFonts w:ascii="Arial Narrow" w:hAnsi="Arial Narrow"/>
                <w:szCs w:val="22"/>
              </w:rPr>
              <w:t>The finishing line will be between a staff displaying an orange flag on the finishing mark and mark 2.</w:t>
            </w:r>
          </w:p>
          <w:p>
            <w:pPr>
              <w:pStyle w:val="BodyTextIndent2"/>
              <w:widowControl w:val="false"/>
              <w:ind w:left="709" w:hanging="709"/>
              <w:rPr>
                <w:rFonts w:ascii="Arial Narrow" w:hAnsi="Arial Narrow"/>
                <w:sz w:val="24"/>
              </w:rPr>
            </w:pPr>
            <w:r>
              <w:rPr>
                <w:rFonts w:ascii="Arial Narrow" w:hAnsi="Arial Narrow"/>
                <w:sz w:val="24"/>
              </w:rPr>
            </w:r>
          </w:p>
        </w:tc>
      </w:tr>
      <w:tr>
        <w:trPr>
          <w:cantSplit w:val="true"/>
        </w:trPr>
        <w:tc>
          <w:tcPr>
            <w:tcW w:w="9120" w:type="dxa"/>
            <w:tcBorders/>
          </w:tcPr>
          <w:p>
            <w:pPr>
              <w:pStyle w:val="ParaHeading"/>
              <w:widowControl w:val="false"/>
              <w:spacing w:before="240" w:after="240"/>
              <w:ind w:left="709" w:hanging="709"/>
              <w:rPr/>
            </w:pPr>
            <w:r>
              <w:rPr/>
              <w:t>14.0</w:t>
              <w:tab/>
              <w:t>Penalty System</w:t>
            </w:r>
          </w:p>
        </w:tc>
      </w:tr>
      <w:tr>
        <w:trPr>
          <w:trHeight w:val="379" w:hRule="atLeast"/>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Rule 44.1 is changed so that the Two-Turns Penalty is replaced by the One-Turn Penalty.</w:t>
            </w:r>
          </w:p>
        </w:tc>
      </w:tr>
      <w:tr>
        <w:trPr>
          <w:cantSplit w:val="true"/>
        </w:trPr>
        <w:tc>
          <w:tcPr>
            <w:tcW w:w="9120" w:type="dxa"/>
            <w:tcBorders/>
          </w:tcPr>
          <w:p>
            <w:pPr>
              <w:pStyle w:val="ParaHeading"/>
              <w:widowControl w:val="false"/>
              <w:spacing w:before="240" w:after="240"/>
              <w:ind w:left="709" w:hanging="709"/>
              <w:rPr/>
            </w:pPr>
            <w:r>
              <w:rPr/>
              <w:t>15.0</w:t>
              <w:tab/>
              <w:t>Time Limits and Target Times</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15.1</w:t>
              <w:tab/>
              <w:t>The time limits and target times in minutes for the first boat are as follows:</w:t>
            </w:r>
          </w:p>
          <w:p>
            <w:pPr>
              <w:pStyle w:val="BodyTextIndent2"/>
              <w:widowControl w:val="false"/>
              <w:numPr>
                <w:ilvl w:val="0"/>
                <w:numId w:val="4"/>
              </w:numPr>
              <w:spacing w:before="120" w:after="0"/>
              <w:ind w:left="1191" w:hanging="357"/>
              <w:rPr>
                <w:rFonts w:ascii="Arial Narrow" w:hAnsi="Arial Narrow"/>
                <w:szCs w:val="22"/>
              </w:rPr>
            </w:pPr>
            <w:r>
              <w:rPr>
                <w:rFonts w:ascii="Arial Narrow" w:hAnsi="Arial Narrow"/>
                <w:szCs w:val="22"/>
              </w:rPr>
              <w:t>The time limit for the first boat to reach Mark 1 for the first time in a race is 20 minutes.</w:t>
            </w:r>
          </w:p>
          <w:p>
            <w:pPr>
              <w:pStyle w:val="BodyTextIndent2"/>
              <w:widowControl w:val="false"/>
              <w:spacing w:before="120" w:after="0"/>
              <w:ind w:left="1191" w:hanging="0"/>
              <w:rPr>
                <w:rFonts w:ascii="Arial Narrow" w:hAnsi="Arial Narrow"/>
                <w:szCs w:val="22"/>
              </w:rPr>
            </w:pPr>
            <w:r>
              <w:rPr>
                <w:rFonts w:ascii="Arial Narrow" w:hAnsi="Arial Narrow"/>
                <w:szCs w:val="22"/>
              </w:rPr>
              <w:t xml:space="preserve">If the time limit is not achieved the race will be abandoned. </w:t>
            </w:r>
          </w:p>
          <w:p>
            <w:pPr>
              <w:pStyle w:val="BodyTextIndent2"/>
              <w:widowControl w:val="false"/>
              <w:numPr>
                <w:ilvl w:val="0"/>
                <w:numId w:val="4"/>
              </w:numPr>
              <w:spacing w:before="120" w:after="0"/>
              <w:ind w:left="1191" w:hanging="357"/>
              <w:rPr>
                <w:rFonts w:ascii="Arial Narrow" w:hAnsi="Arial Narrow"/>
                <w:szCs w:val="22"/>
              </w:rPr>
            </w:pPr>
            <w:r>
              <w:rPr>
                <w:rFonts w:ascii="Arial Narrow" w:hAnsi="Arial Narrow"/>
                <w:szCs w:val="22"/>
              </w:rPr>
              <w:t>The time limit for the first boat to sail the course and finish is 75 minutes.</w:t>
            </w:r>
          </w:p>
          <w:p>
            <w:pPr>
              <w:pStyle w:val="BodyTextIndent2"/>
              <w:widowControl w:val="false"/>
              <w:numPr>
                <w:ilvl w:val="0"/>
                <w:numId w:val="4"/>
              </w:numPr>
              <w:spacing w:before="120" w:after="0"/>
              <w:ind w:left="1191" w:hanging="357"/>
              <w:rPr>
                <w:rFonts w:ascii="Arial Narrow" w:hAnsi="Arial Narrow"/>
                <w:szCs w:val="22"/>
              </w:rPr>
            </w:pPr>
            <w:r>
              <w:rPr>
                <w:rFonts w:ascii="Arial Narrow" w:hAnsi="Arial Narrow"/>
                <w:szCs w:val="22"/>
              </w:rPr>
              <w:t>The target time for the first boat to sail the course is 35 minutes.</w:t>
            </w:r>
          </w:p>
          <w:p>
            <w:pPr>
              <w:pStyle w:val="BodyTextIndent2"/>
              <w:widowControl w:val="false"/>
              <w:tabs>
                <w:tab w:val="clear" w:pos="720"/>
                <w:tab w:val="left" w:pos="1593" w:leader="none"/>
                <w:tab w:val="left" w:pos="2869" w:leader="none"/>
                <w:tab w:val="left" w:pos="4144" w:leader="none"/>
              </w:tabs>
              <w:ind w:left="709" w:hanging="709"/>
              <w:rPr>
                <w:rFonts w:ascii="Arial Narrow" w:hAnsi="Arial Narrow"/>
                <w:szCs w:val="22"/>
              </w:rPr>
            </w:pPr>
            <w:r>
              <w:rPr>
                <w:rFonts w:ascii="Arial Narrow" w:hAnsi="Arial Narrow"/>
                <w:szCs w:val="22"/>
              </w:rPr>
              <w:tab/>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15.2</w:t>
              <w:tab/>
              <w:t>Boats failing to finish, according to 8.2, within 20 minutes after the first boat sails the course and finishes will be scored Did Not Finish without a hearing. This changes rules 35, Time Limit and Scores, and the scoring system.</w:t>
            </w:r>
          </w:p>
          <w:p>
            <w:pPr>
              <w:pStyle w:val="BodyTextIndent2"/>
              <w:widowControl w:val="false"/>
              <w:ind w:left="709" w:hanging="709"/>
              <w:rPr>
                <w:rFonts w:ascii="Arial Narrow" w:hAnsi="Arial Narrow"/>
                <w:color w:val="FF0000"/>
                <w:szCs w:val="22"/>
              </w:rPr>
            </w:pPr>
            <w:r>
              <w:rPr>
                <w:rFonts w:ascii="Arial Narrow" w:hAnsi="Arial Narrow"/>
                <w:color w:val="FF0000"/>
                <w:szCs w:val="22"/>
              </w:rPr>
            </w:r>
          </w:p>
        </w:tc>
      </w:tr>
      <w:tr>
        <w:trPr>
          <w:cantSplit w:val="true"/>
        </w:trPr>
        <w:tc>
          <w:tcPr>
            <w:tcW w:w="9120" w:type="dxa"/>
            <w:tcBorders/>
          </w:tcPr>
          <w:p>
            <w:pPr>
              <w:pStyle w:val="ParaHeading"/>
              <w:widowControl w:val="false"/>
              <w:spacing w:before="240" w:after="240"/>
              <w:ind w:left="709" w:hanging="709"/>
              <w:rPr/>
            </w:pPr>
            <w:r>
              <w:rPr/>
              <w:t>16.0</w:t>
              <w:tab/>
              <w:t>Protests and Requests for Redress</w:t>
            </w:r>
          </w:p>
        </w:tc>
      </w:tr>
      <w:tr>
        <w:trPr>
          <w:cantSplit w:val="true"/>
        </w:trPr>
        <w:tc>
          <w:tcPr>
            <w:tcW w:w="9120" w:type="dxa"/>
            <w:tcBorders/>
          </w:tcPr>
          <w:p>
            <w:pPr>
              <w:pStyle w:val="BodyTextIndent2"/>
              <w:widowControl w:val="false"/>
              <w:ind w:left="709" w:hanging="709"/>
              <w:rPr>
                <w:rFonts w:ascii="Arial Narrow" w:hAnsi="Arial Narrow"/>
                <w:color w:val="000000"/>
                <w:szCs w:val="22"/>
              </w:rPr>
            </w:pPr>
            <w:r>
              <w:rPr>
                <w:rFonts w:ascii="Arial Narrow" w:hAnsi="Arial Narrow"/>
                <w:color w:val="000000"/>
                <w:szCs w:val="22"/>
              </w:rPr>
              <w:t>16.1</w:t>
              <w:tab/>
              <w:t>Appendix T, Arbitration, will apply.</w:t>
            </w:r>
          </w:p>
          <w:p>
            <w:pPr>
              <w:pStyle w:val="BodyTextIndent2"/>
              <w:widowControl w:val="false"/>
              <w:ind w:left="709" w:hanging="709"/>
              <w:rPr>
                <w:rFonts w:ascii="Arial Narrow" w:hAnsi="Arial Narrow"/>
                <w:color w:val="000000"/>
                <w:szCs w:val="22"/>
              </w:rPr>
            </w:pPr>
            <w:r>
              <w:rPr>
                <w:rFonts w:ascii="Arial Narrow" w:hAnsi="Arial Narrow"/>
                <w:color w:val="000000"/>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16.2</w:t>
              <w:tab/>
              <w:t>Protest forms are available at the Club race office.  Protests and requests for redress or reopening shall be delivered there within the protest time limit.</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16.3</w:t>
              <w:tab/>
              <w:t>The protest time limit is 60 minutes after the last boat has finished the last race of the day or the race committee signals no more racing today, whichever is later.</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16.4</w:t>
              <w:tab/>
              <w:t xml:space="preserve">Notices will be posted within 15 minutes of the protest time limit to inform competitors of hearings in which they are parties.  Hearings will be held in the Protest Committee room at NPCL. </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16.5</w:t>
              <w:tab/>
              <w:t>Notices of protests by the race committee or protest committee will be posted to inform boats under rule 61.1(b).</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16.6</w:t>
              <w:tab/>
              <w:t>For the purpose of rule 64.3(b) the ‘authority responsible’ is the measurer appointed by the organising authority.</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16.7</w:t>
              <w:tab/>
              <w:t>Breaches of instructions 4.2, 11.3, 18 and 19 will not be grounds for a protest by a boat under rule 60.1(a).  This changes rule 60.1(a), Right to Protest, Right to Request Redress or Rule 69 Action. [DP]</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0" w:hanging="709"/>
              <w:rPr>
                <w:rFonts w:ascii="Arial Narrow" w:hAnsi="Arial Narrow"/>
                <w:szCs w:val="22"/>
              </w:rPr>
            </w:pPr>
            <w:r>
              <w:rPr>
                <w:rFonts w:ascii="Arial Narrow" w:hAnsi="Arial Narrow"/>
                <w:szCs w:val="22"/>
              </w:rPr>
              <w:t>16.10</w:t>
              <w:tab/>
              <w:t>16.8</w:t>
              <w:tab/>
              <w:t xml:space="preserve">On the last scheduled day of racing a request for redress based on a protest committee decision </w:t>
              <w:tab/>
              <w:t>shall be delivered no later than 30 minutes after the decision was posted. This changes rule 62.2.</w:t>
            </w:r>
          </w:p>
          <w:p>
            <w:pPr>
              <w:pStyle w:val="Normal"/>
              <w:widowControl w:val="false"/>
              <w:ind w:left="720" w:hanging="720"/>
              <w:jc w:val="both"/>
              <w:rPr>
                <w:i/>
                <w:i/>
                <w:sz w:val="22"/>
                <w:szCs w:val="22"/>
              </w:rPr>
            </w:pPr>
            <w:r>
              <w:rPr>
                <w:b/>
                <w:sz w:val="22"/>
                <w:szCs w:val="22"/>
              </w:rPr>
              <w:tab/>
            </w:r>
            <w:r>
              <w:rPr>
                <w:sz w:val="22"/>
                <w:szCs w:val="22"/>
              </w:rPr>
              <w:t>And</w:t>
            </w:r>
            <w:r>
              <w:rPr>
                <w:i/>
                <w:sz w:val="22"/>
                <w:szCs w:val="22"/>
              </w:rPr>
              <w:tab/>
            </w:r>
          </w:p>
          <w:p>
            <w:pPr>
              <w:pStyle w:val="Normal"/>
              <w:widowControl w:val="false"/>
              <w:ind w:left="720" w:hanging="720"/>
              <w:jc w:val="both"/>
              <w:rPr>
                <w:sz w:val="22"/>
                <w:szCs w:val="22"/>
              </w:rPr>
            </w:pPr>
            <w:r>
              <w:rPr>
                <w:b/>
                <w:sz w:val="22"/>
                <w:szCs w:val="22"/>
              </w:rPr>
              <w:tab/>
            </w:r>
            <w:r>
              <w:rPr>
                <w:sz w:val="22"/>
                <w:szCs w:val="22"/>
              </w:rPr>
              <w:t xml:space="preserve">On the last scheduled day of racing a request for redress based on a protest committee decision shall be delivered </w:t>
            </w:r>
          </w:p>
          <w:p>
            <w:pPr>
              <w:pStyle w:val="ListParagraph"/>
              <w:widowControl w:val="false"/>
              <w:numPr>
                <w:ilvl w:val="0"/>
                <w:numId w:val="6"/>
              </w:numPr>
              <w:jc w:val="both"/>
              <w:rPr>
                <w:rFonts w:ascii="Arial Narrow" w:hAnsi="Arial Narrow"/>
                <w:sz w:val="22"/>
                <w:szCs w:val="22"/>
              </w:rPr>
            </w:pPr>
            <w:r>
              <w:rPr>
                <w:rFonts w:ascii="Arial Narrow" w:hAnsi="Arial Narrow"/>
                <w:sz w:val="22"/>
                <w:szCs w:val="22"/>
              </w:rPr>
              <w:t xml:space="preserve">within the protest time limit if the requesting party was informed of the decision on the previous day. </w:t>
            </w:r>
          </w:p>
          <w:p>
            <w:pPr>
              <w:pStyle w:val="ListParagraph"/>
              <w:widowControl w:val="false"/>
              <w:numPr>
                <w:ilvl w:val="0"/>
                <w:numId w:val="6"/>
              </w:numPr>
              <w:jc w:val="both"/>
              <w:rPr>
                <w:rFonts w:ascii="Arial Narrow" w:hAnsi="Arial Narrow"/>
                <w:sz w:val="22"/>
                <w:szCs w:val="22"/>
              </w:rPr>
            </w:pPr>
            <w:r>
              <w:rPr>
                <w:rFonts w:ascii="Arial Narrow" w:hAnsi="Arial Narrow"/>
                <w:sz w:val="22"/>
                <w:szCs w:val="22"/>
              </w:rPr>
              <w:t>no later than 30 minutes after the party was informed of the decision on the day.</w:t>
            </w:r>
          </w:p>
          <w:p>
            <w:pPr>
              <w:pStyle w:val="Normal"/>
              <w:widowControl w:val="false"/>
              <w:ind w:left="720" w:hanging="0"/>
              <w:jc w:val="both"/>
              <w:rPr>
                <w:sz w:val="22"/>
                <w:szCs w:val="22"/>
              </w:rPr>
            </w:pPr>
            <w:r>
              <w:rPr>
                <w:sz w:val="22"/>
                <w:szCs w:val="22"/>
              </w:rPr>
            </w:r>
          </w:p>
          <w:p>
            <w:pPr>
              <w:pStyle w:val="Normal"/>
              <w:widowControl w:val="false"/>
              <w:ind w:left="720" w:hanging="0"/>
              <w:jc w:val="both"/>
              <w:rPr>
                <w:sz w:val="22"/>
                <w:szCs w:val="22"/>
              </w:rPr>
            </w:pPr>
            <w:r>
              <w:rPr>
                <w:sz w:val="22"/>
                <w:szCs w:val="22"/>
              </w:rPr>
            </w:r>
          </w:p>
          <w:p>
            <w:pPr>
              <w:pStyle w:val="Normal"/>
              <w:widowControl w:val="false"/>
              <w:ind w:left="720" w:hanging="0"/>
              <w:jc w:val="both"/>
              <w:rPr>
                <w:i/>
                <w:i/>
              </w:rPr>
            </w:pPr>
            <w:r>
              <w:rPr>
                <w:sz w:val="22"/>
                <w:szCs w:val="22"/>
              </w:rPr>
              <w:t>This changes RRS62.2</w:t>
            </w:r>
            <w:bookmarkStart w:id="0" w:name="_Hlk513719192"/>
            <w:bookmarkEnd w:id="0"/>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ParaHeading"/>
              <w:widowControl w:val="false"/>
              <w:numPr>
                <w:ilvl w:val="0"/>
                <w:numId w:val="3"/>
              </w:numPr>
              <w:spacing w:before="240" w:after="240"/>
              <w:rPr/>
            </w:pPr>
            <w:r>
              <w:rPr/>
              <w:t>Scoring</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17.1</w:t>
              <w:tab/>
              <w:t>Appendix A4.1 is deleted and replaced with:</w:t>
            </w:r>
          </w:p>
          <w:p>
            <w:pPr>
              <w:pStyle w:val="BodyTextIndent2"/>
              <w:widowControl w:val="false"/>
              <w:ind w:left="709" w:hanging="709"/>
              <w:rPr>
                <w:rFonts w:ascii="Arial Narrow" w:hAnsi="Arial Narrow"/>
                <w:szCs w:val="22"/>
              </w:rPr>
            </w:pPr>
            <w:r>
              <w:rPr>
                <w:rFonts w:ascii="Arial Narrow" w:hAnsi="Arial Narrow"/>
                <w:szCs w:val="22"/>
              </w:rPr>
              <w:tab/>
              <w:t xml:space="preserve">Each boat starting and finishing and not thereafter retiring, being penalised or given redress, shall be scored as follows: </w:t>
            </w:r>
          </w:p>
          <w:p>
            <w:pPr>
              <w:pStyle w:val="BodyTextIndent2"/>
              <w:widowControl w:val="false"/>
              <w:ind w:left="709" w:hanging="709"/>
              <w:rPr>
                <w:rFonts w:ascii="Arial Narrow" w:hAnsi="Arial Narrow"/>
                <w:szCs w:val="22"/>
              </w:rPr>
            </w:pPr>
            <w:r>
              <w:rPr>
                <w:rFonts w:ascii="Arial Narrow" w:hAnsi="Arial Narrow"/>
                <w:szCs w:val="22"/>
              </w:rPr>
              <w:tab/>
              <w:t>Points awarded according to the formula 400 / (N+3), where N is the official finishing position of a boat.</w:t>
            </w:r>
          </w:p>
          <w:p>
            <w:pPr>
              <w:pStyle w:val="BodyTextIndent2"/>
              <w:widowControl w:val="false"/>
              <w:tabs>
                <w:tab w:val="clear" w:pos="720"/>
                <w:tab w:val="left" w:pos="624" w:leader="none"/>
              </w:tabs>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tabs>
                <w:tab w:val="clear" w:pos="720"/>
                <w:tab w:val="left" w:pos="766" w:leader="none"/>
              </w:tabs>
              <w:ind w:left="709" w:hanging="709"/>
              <w:rPr>
                <w:rFonts w:ascii="Arial Narrow" w:hAnsi="Arial Narrow"/>
                <w:szCs w:val="22"/>
              </w:rPr>
            </w:pPr>
            <w:r>
              <w:rPr>
                <w:rFonts w:ascii="Arial Narrow" w:hAnsi="Arial Narrow"/>
                <w:szCs w:val="22"/>
              </w:rPr>
              <w:t>17.2</w:t>
              <w:tab/>
              <w:t>Appendix A4.2 is changed so that yachts disqualified or not competing in any one race (DNC, OCS, DSQ,) shall receive no points for that race and shall not be given a finishing position.</w:t>
            </w:r>
          </w:p>
          <w:p>
            <w:pPr>
              <w:pStyle w:val="BodyTextIndent2"/>
              <w:widowControl w:val="false"/>
              <w:tabs>
                <w:tab w:val="clear" w:pos="720"/>
                <w:tab w:val="left" w:pos="624" w:leader="none"/>
              </w:tabs>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tabs>
                <w:tab w:val="clear" w:pos="720"/>
                <w:tab w:val="left" w:pos="766" w:leader="none"/>
              </w:tabs>
              <w:ind w:left="709" w:hanging="709"/>
              <w:rPr>
                <w:rFonts w:ascii="Arial Narrow" w:hAnsi="Arial Narrow"/>
                <w:szCs w:val="22"/>
              </w:rPr>
            </w:pPr>
            <w:r>
              <w:rPr>
                <w:rFonts w:ascii="Arial Narrow" w:hAnsi="Arial Narrow"/>
                <w:szCs w:val="22"/>
              </w:rPr>
              <w:t>17.3</w:t>
              <w:tab/>
              <w:t>Appendix A4.2 is changed so that competing yachts that fail to finish (DNS, DNF) in any one race shall receive half of the average points these boats would have received had they all finished.</w:t>
            </w:r>
          </w:p>
          <w:p>
            <w:pPr>
              <w:pStyle w:val="BodyTextIndent2"/>
              <w:widowControl w:val="false"/>
              <w:tabs>
                <w:tab w:val="clear" w:pos="720"/>
                <w:tab w:val="left" w:pos="624" w:leader="none"/>
              </w:tabs>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tabs>
                <w:tab w:val="clear" w:pos="720"/>
                <w:tab w:val="left" w:pos="766" w:leader="none"/>
              </w:tabs>
              <w:ind w:left="709" w:hanging="709"/>
              <w:rPr>
                <w:rFonts w:ascii="Arial Narrow" w:hAnsi="Arial Narrow"/>
                <w:szCs w:val="22"/>
              </w:rPr>
            </w:pPr>
            <w:r>
              <w:rPr>
                <w:rFonts w:ascii="Arial Narrow" w:hAnsi="Arial Narrow"/>
                <w:szCs w:val="22"/>
              </w:rPr>
              <w:t>17.4</w:t>
              <w:tab/>
              <w:t>The scoring abbreviation for a discretionary penalty given under instruction 16.7 will be DPI.</w:t>
            </w:r>
          </w:p>
          <w:p>
            <w:pPr>
              <w:pStyle w:val="BodyTextIndent2"/>
              <w:widowControl w:val="false"/>
              <w:tabs>
                <w:tab w:val="clear" w:pos="720"/>
                <w:tab w:val="left" w:pos="624" w:leader="none"/>
              </w:tabs>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Normal"/>
              <w:keepLines/>
              <w:widowControl w:val="false"/>
              <w:tabs>
                <w:tab w:val="clear" w:pos="720"/>
                <w:tab w:val="left" w:pos="766" w:leader="none"/>
              </w:tabs>
              <w:ind w:left="709" w:hanging="709"/>
              <w:rPr>
                <w:sz w:val="22"/>
                <w:szCs w:val="22"/>
              </w:rPr>
            </w:pPr>
            <w:r>
              <w:rPr>
                <w:sz w:val="22"/>
                <w:szCs w:val="22"/>
              </w:rPr>
              <w:t xml:space="preserve">17.5 </w:t>
              <w:tab/>
              <w:t>Nine races are scheduled of which 5 races are required to be completed to constitute a series.</w:t>
            </w:r>
          </w:p>
          <w:p>
            <w:pPr>
              <w:pStyle w:val="Normal"/>
              <w:keepLines/>
              <w:widowControl w:val="false"/>
              <w:tabs>
                <w:tab w:val="clear" w:pos="720"/>
                <w:tab w:val="left" w:pos="624" w:leader="none"/>
              </w:tabs>
              <w:ind w:left="709" w:hanging="709"/>
              <w:rPr>
                <w:sz w:val="22"/>
                <w:szCs w:val="22"/>
              </w:rPr>
            </w:pPr>
            <w:r>
              <w:rPr>
                <w:sz w:val="22"/>
                <w:szCs w:val="22"/>
              </w:rPr>
            </w:r>
          </w:p>
        </w:tc>
      </w:tr>
      <w:tr>
        <w:trPr>
          <w:cantSplit w:val="true"/>
        </w:trPr>
        <w:tc>
          <w:tcPr>
            <w:tcW w:w="9120" w:type="dxa"/>
            <w:tcBorders/>
          </w:tcPr>
          <w:p>
            <w:pPr>
              <w:pStyle w:val="Normal"/>
              <w:keepLines/>
              <w:widowControl w:val="false"/>
              <w:tabs>
                <w:tab w:val="clear" w:pos="720"/>
                <w:tab w:val="left" w:pos="766" w:leader="none"/>
              </w:tabs>
              <w:ind w:left="709" w:hanging="709"/>
              <w:rPr>
                <w:sz w:val="22"/>
                <w:szCs w:val="22"/>
              </w:rPr>
            </w:pPr>
            <w:r>
              <w:rPr>
                <w:sz w:val="22"/>
                <w:szCs w:val="22"/>
              </w:rPr>
              <w:t xml:space="preserve">17.6 </w:t>
              <w:tab/>
              <w:t>All completed races are counted for total points.</w:t>
            </w:r>
          </w:p>
          <w:p>
            <w:pPr>
              <w:pStyle w:val="Normal"/>
              <w:keepLines/>
              <w:widowControl w:val="false"/>
              <w:tabs>
                <w:tab w:val="clear" w:pos="720"/>
                <w:tab w:val="left" w:pos="624" w:leader="none"/>
              </w:tabs>
              <w:ind w:left="709" w:hanging="709"/>
              <w:rPr>
                <w:sz w:val="22"/>
                <w:szCs w:val="22"/>
              </w:rPr>
            </w:pPr>
            <w:r>
              <w:rPr>
                <w:sz w:val="22"/>
                <w:szCs w:val="22"/>
              </w:rPr>
            </w:r>
          </w:p>
        </w:tc>
      </w:tr>
      <w:tr>
        <w:trPr>
          <w:cantSplit w:val="true"/>
        </w:trPr>
        <w:tc>
          <w:tcPr>
            <w:tcW w:w="9120" w:type="dxa"/>
            <w:tcBorders/>
          </w:tcPr>
          <w:p>
            <w:pPr>
              <w:pStyle w:val="ParaHeading"/>
              <w:widowControl w:val="false"/>
              <w:spacing w:before="240" w:after="240"/>
              <w:ind w:left="709" w:hanging="709"/>
              <w:rPr/>
            </w:pPr>
            <w:r>
              <w:rPr/>
              <w:t>18.0</w:t>
              <w:tab/>
              <w:t>Safety Regulations</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18.1</w:t>
              <w:tab/>
              <w:t>Boats shall check-in and check-out when leaving and returning to the Naval Point Club slipway by completing the Naval Point Club Entry and Sign Out sheets.</w:t>
            </w:r>
            <w:r>
              <w:rPr>
                <w:rFonts w:ascii="Arial Narrow" w:hAnsi="Arial Narrow"/>
                <w:szCs w:val="22"/>
                <w:lang w:val="en-GB"/>
              </w:rPr>
              <w:t xml:space="preserve"> [DP]</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18.2</w:t>
              <w:tab/>
              <w:t>A boat that retires from a race shall notify the race committee as soon as possible.</w:t>
            </w:r>
            <w:r>
              <w:rPr>
                <w:rFonts w:ascii="Arial Narrow" w:hAnsi="Arial Narrow"/>
                <w:szCs w:val="22"/>
                <w:lang w:val="en-GB"/>
              </w:rPr>
              <w:t xml:space="preserve"> [DP]</w:t>
            </w:r>
          </w:p>
          <w:p>
            <w:pPr>
              <w:pStyle w:val="BodyTextIndent2"/>
              <w:widowControl w:val="false"/>
              <w:ind w:left="709" w:hanging="709"/>
              <w:rPr>
                <w:rFonts w:ascii="Arial Narrow" w:hAnsi="Arial Narrow"/>
                <w:szCs w:val="22"/>
              </w:rPr>
            </w:pPr>
            <w:r>
              <w:rPr>
                <w:rFonts w:ascii="Arial Narrow" w:hAnsi="Arial Narrow"/>
                <w:szCs w:val="22"/>
              </w:rPr>
            </w:r>
          </w:p>
        </w:tc>
      </w:tr>
      <w:tr>
        <w:trPr>
          <w:cantSplit w:val="true"/>
        </w:trPr>
        <w:tc>
          <w:tcPr>
            <w:tcW w:w="9120" w:type="dxa"/>
            <w:tcBorders/>
          </w:tcPr>
          <w:p>
            <w:pPr>
              <w:pStyle w:val="ParaHeading"/>
              <w:widowControl w:val="false"/>
              <w:spacing w:before="240" w:after="240"/>
              <w:ind w:left="709" w:hanging="709"/>
              <w:rPr/>
            </w:pPr>
            <w:r>
              <w:rPr/>
              <w:t>19.0</w:t>
              <w:tab/>
              <w:t>Replacement of Crew or Equipment</w:t>
            </w:r>
          </w:p>
        </w:tc>
      </w:tr>
      <w:tr>
        <w:trPr>
          <w:cantSplit w:val="true"/>
        </w:trPr>
        <w:tc>
          <w:tcPr>
            <w:tcW w:w="9120" w:type="dxa"/>
            <w:tcBorders/>
          </w:tcPr>
          <w:p>
            <w:pPr>
              <w:pStyle w:val="BodyTextIndent2"/>
              <w:widowControl w:val="false"/>
              <w:ind w:left="709" w:hanging="709"/>
              <w:rPr>
                <w:rFonts w:ascii="Arial Narrow" w:hAnsi="Arial Narrow"/>
                <w:szCs w:val="22"/>
              </w:rPr>
            </w:pPr>
            <w:r>
              <w:rPr>
                <w:rFonts w:ascii="Arial Narrow" w:hAnsi="Arial Narrow"/>
                <w:szCs w:val="22"/>
              </w:rPr>
              <w:t>19.1</w:t>
              <w:tab/>
              <w:t>Substitution of competitors will not be allowed without prior written approval of the race committee. [DP]</w:t>
            </w:r>
          </w:p>
          <w:p>
            <w:pPr>
              <w:pStyle w:val="BodyTextIndent2"/>
              <w:widowControl w:val="false"/>
              <w:ind w:left="709" w:hanging="709"/>
              <w:rPr>
                <w:rFonts w:ascii="Arial Narrow" w:hAnsi="Arial Narrow"/>
                <w:szCs w:val="22"/>
              </w:rPr>
            </w:pPr>
            <w:r>
              <w:rPr>
                <w:rFonts w:ascii="Arial Narrow" w:hAnsi="Arial Narrow"/>
                <w:szCs w:val="22"/>
              </w:rPr>
            </w:r>
          </w:p>
          <w:p>
            <w:pPr>
              <w:pStyle w:val="BodyTextIndent2"/>
              <w:widowControl w:val="false"/>
              <w:ind w:left="709" w:hanging="709"/>
              <w:rPr>
                <w:rFonts w:ascii="Arial Narrow" w:hAnsi="Arial Narrow"/>
                <w:szCs w:val="22"/>
              </w:rPr>
            </w:pPr>
            <w:r>
              <w:rPr>
                <w:rFonts w:ascii="Arial Narrow" w:hAnsi="Arial Narrow"/>
                <w:szCs w:val="22"/>
              </w:rPr>
              <w:t>19.2</w:t>
              <w:tab/>
            </w:r>
            <w:r>
              <w:rPr>
                <w:rFonts w:ascii="Arial Narrow" w:hAnsi="Arial Narrow"/>
                <w:szCs w:val="22"/>
                <w:lang w:val="en-GB"/>
              </w:rPr>
              <w:t>Substitution of damaged or lost equipment will not be allowed unless authorized by the race committee. Requests for substitution shall be made to the committee at the first reasonable opportunity. [DP]</w:t>
            </w:r>
          </w:p>
          <w:p>
            <w:pPr>
              <w:pStyle w:val="BodyTextIndent2"/>
              <w:widowControl w:val="false"/>
              <w:ind w:left="709" w:hanging="709"/>
              <w:rPr>
                <w:rFonts w:ascii="Arial Narrow" w:hAnsi="Arial Narrow"/>
                <w:sz w:val="24"/>
              </w:rPr>
            </w:pPr>
            <w:r>
              <w:rPr>
                <w:rFonts w:ascii="Arial Narrow" w:hAnsi="Arial Narrow"/>
                <w:sz w:val="24"/>
              </w:rPr>
            </w:r>
          </w:p>
        </w:tc>
      </w:tr>
      <w:tr>
        <w:trPr>
          <w:cantSplit w:val="true"/>
        </w:trPr>
        <w:tc>
          <w:tcPr>
            <w:tcW w:w="9120" w:type="dxa"/>
            <w:tcBorders/>
          </w:tcPr>
          <w:p>
            <w:pPr>
              <w:pStyle w:val="ParaHeading"/>
              <w:widowControl w:val="false"/>
              <w:spacing w:before="240" w:after="240"/>
              <w:ind w:left="709" w:hanging="709"/>
              <w:rPr/>
            </w:pPr>
            <w:r>
              <w:rPr/>
              <w:t>20.0</w:t>
              <w:tab/>
              <w:t>Prizes</w:t>
            </w:r>
          </w:p>
        </w:tc>
      </w:tr>
      <w:tr>
        <w:trPr>
          <w:cantSplit w:val="true"/>
        </w:trPr>
        <w:tc>
          <w:tcPr>
            <w:tcW w:w="9120" w:type="dxa"/>
            <w:tcBorders/>
          </w:tcPr>
          <w:p>
            <w:pPr>
              <w:pStyle w:val="Normal"/>
              <w:widowControl w:val="false"/>
              <w:ind w:left="766" w:hanging="709"/>
              <w:rPr>
                <w:sz w:val="22"/>
                <w:szCs w:val="22"/>
              </w:rPr>
            </w:pPr>
            <w:r>
              <w:rPr>
                <w:sz w:val="22"/>
                <w:szCs w:val="22"/>
              </w:rPr>
              <w:t>The following prizes will be awarded:</w:t>
            </w:r>
          </w:p>
          <w:p>
            <w:pPr>
              <w:pStyle w:val="Normal"/>
              <w:widowControl w:val="false"/>
              <w:ind w:left="766" w:hanging="709"/>
              <w:rPr>
                <w:sz w:val="22"/>
                <w:szCs w:val="22"/>
              </w:rPr>
            </w:pPr>
            <w:r>
              <w:rPr>
                <w:sz w:val="22"/>
                <w:szCs w:val="22"/>
              </w:rPr>
              <w:tab/>
              <w:t>Leander Trophy</w:t>
            </w:r>
          </w:p>
          <w:p>
            <w:pPr>
              <w:pStyle w:val="Normal"/>
              <w:widowControl w:val="false"/>
              <w:ind w:left="766" w:hanging="709"/>
              <w:rPr>
                <w:sz w:val="22"/>
                <w:szCs w:val="22"/>
              </w:rPr>
            </w:pPr>
            <w:r>
              <w:rPr>
                <w:sz w:val="22"/>
                <w:szCs w:val="22"/>
              </w:rPr>
              <w:tab/>
              <w:t>Kent Prier Trophy</w:t>
            </w:r>
          </w:p>
          <w:p>
            <w:pPr>
              <w:pStyle w:val="Normal"/>
              <w:widowControl w:val="false"/>
              <w:ind w:left="766" w:hanging="709"/>
              <w:rPr>
                <w:sz w:val="22"/>
                <w:szCs w:val="22"/>
              </w:rPr>
            </w:pPr>
            <w:r>
              <w:rPr>
                <w:sz w:val="22"/>
                <w:szCs w:val="22"/>
              </w:rPr>
              <w:tab/>
              <w:t>Bank of NSW Trophy</w:t>
            </w:r>
          </w:p>
          <w:p>
            <w:pPr>
              <w:pStyle w:val="Normal"/>
              <w:widowControl w:val="false"/>
              <w:ind w:left="766" w:hanging="709"/>
              <w:rPr>
                <w:sz w:val="22"/>
                <w:szCs w:val="22"/>
              </w:rPr>
            </w:pPr>
            <w:r>
              <w:rPr>
                <w:sz w:val="22"/>
                <w:szCs w:val="22"/>
              </w:rPr>
              <w:tab/>
              <w:t>Bill Hayman Cup</w:t>
            </w:r>
          </w:p>
          <w:p>
            <w:pPr>
              <w:pStyle w:val="Normal"/>
              <w:widowControl w:val="false"/>
              <w:ind w:left="766" w:hanging="709"/>
              <w:rPr>
                <w:sz w:val="22"/>
                <w:szCs w:val="22"/>
              </w:rPr>
            </w:pPr>
            <w:r>
              <w:rPr>
                <w:sz w:val="22"/>
                <w:szCs w:val="22"/>
              </w:rPr>
              <w:tab/>
              <w:t>Leander Trophy Masters Cup</w:t>
            </w:r>
          </w:p>
          <w:p>
            <w:pPr>
              <w:pStyle w:val="Normal"/>
              <w:widowControl w:val="false"/>
              <w:ind w:left="766" w:hanging="709"/>
              <w:rPr>
                <w:sz w:val="22"/>
                <w:szCs w:val="22"/>
              </w:rPr>
            </w:pPr>
            <w:r>
              <w:rPr>
                <w:sz w:val="22"/>
                <w:szCs w:val="22"/>
              </w:rPr>
              <w:tab/>
              <w:t>Leander Cup</w:t>
            </w:r>
          </w:p>
          <w:p>
            <w:pPr>
              <w:pStyle w:val="Normal"/>
              <w:widowControl w:val="false"/>
              <w:ind w:left="766" w:hanging="709"/>
              <w:rPr>
                <w:sz w:val="22"/>
                <w:szCs w:val="22"/>
              </w:rPr>
            </w:pPr>
            <w:r>
              <w:rPr>
                <w:sz w:val="22"/>
                <w:szCs w:val="22"/>
              </w:rPr>
              <w:tab/>
              <w:t>Doug Harrison Memorial Trophy</w:t>
            </w:r>
          </w:p>
          <w:p>
            <w:pPr>
              <w:pStyle w:val="Normal"/>
              <w:widowControl w:val="false"/>
              <w:ind w:left="766" w:hanging="709"/>
              <w:rPr>
                <w:sz w:val="22"/>
                <w:szCs w:val="22"/>
              </w:rPr>
            </w:pPr>
            <w:r>
              <w:rPr>
                <w:sz w:val="22"/>
                <w:szCs w:val="22"/>
              </w:rPr>
              <w:tab/>
              <w:t>Youth Trophy</w:t>
            </w:r>
          </w:p>
          <w:p>
            <w:pPr>
              <w:pStyle w:val="Normal"/>
              <w:widowControl w:val="false"/>
              <w:ind w:left="766" w:hanging="709"/>
              <w:rPr>
                <w:sz w:val="22"/>
                <w:szCs w:val="22"/>
              </w:rPr>
            </w:pPr>
            <w:r>
              <w:rPr>
                <w:sz w:val="22"/>
                <w:szCs w:val="22"/>
              </w:rPr>
              <w:tab/>
              <w:t>Pinkney Trophy</w:t>
            </w:r>
          </w:p>
          <w:p>
            <w:pPr>
              <w:pStyle w:val="Normal"/>
              <w:widowControl w:val="false"/>
              <w:ind w:left="766" w:hanging="709"/>
              <w:rPr>
                <w:sz w:val="22"/>
                <w:szCs w:val="22"/>
              </w:rPr>
            </w:pPr>
            <w:r>
              <w:rPr>
                <w:sz w:val="22"/>
                <w:szCs w:val="22"/>
              </w:rPr>
              <w:tab/>
              <w:t>Innovation Trophy</w:t>
            </w:r>
          </w:p>
          <w:p>
            <w:pPr>
              <w:pStyle w:val="Normal"/>
              <w:widowControl w:val="false"/>
              <w:ind w:left="766" w:hanging="709"/>
              <w:rPr>
                <w:i/>
                <w:i/>
                <w:spacing w:val="-5"/>
                <w:sz w:val="22"/>
                <w:szCs w:val="22"/>
              </w:rPr>
            </w:pPr>
            <w:r>
              <w:rPr>
                <w:sz w:val="22"/>
                <w:szCs w:val="22"/>
              </w:rPr>
              <w:tab/>
              <w:t>Lion Trophy</w:t>
            </w:r>
          </w:p>
          <w:p>
            <w:pPr>
              <w:pStyle w:val="BodyTextIndent2"/>
              <w:widowControl w:val="false"/>
              <w:ind w:left="709" w:hanging="709"/>
              <w:rPr>
                <w:rFonts w:ascii="Arial Narrow" w:hAnsi="Arial Narrow"/>
                <w:sz w:val="24"/>
              </w:rPr>
            </w:pPr>
            <w:r>
              <w:rPr>
                <w:rFonts w:ascii="Arial Narrow" w:hAnsi="Arial Narrow"/>
                <w:sz w:val="24"/>
              </w:rPr>
            </w:r>
          </w:p>
        </w:tc>
      </w:tr>
      <w:tr>
        <w:trPr>
          <w:cantSplit w:val="true"/>
        </w:trPr>
        <w:tc>
          <w:tcPr>
            <w:tcW w:w="9120" w:type="dxa"/>
            <w:tcBorders/>
          </w:tcPr>
          <w:p>
            <w:pPr>
              <w:pStyle w:val="ParaHeading"/>
              <w:widowControl w:val="false"/>
              <w:tabs>
                <w:tab w:val="clear" w:pos="601"/>
                <w:tab w:val="left" w:pos="23" w:leader="none"/>
              </w:tabs>
              <w:spacing w:before="240" w:after="240"/>
              <w:rPr/>
            </w:pPr>
            <w:r>
              <w:rPr/>
              <w:t>21.0</w:t>
              <w:tab/>
              <w:t>Disclaimer of Liability</w:t>
            </w:r>
          </w:p>
        </w:tc>
      </w:tr>
      <w:tr>
        <w:trPr>
          <w:cantSplit w:val="true"/>
        </w:trPr>
        <w:tc>
          <w:tcPr>
            <w:tcW w:w="9120" w:type="dxa"/>
            <w:tcBorders/>
          </w:tcPr>
          <w:p>
            <w:pPr>
              <w:pStyle w:val="BodyTextIndent2"/>
              <w:widowControl w:val="false"/>
              <w:ind w:left="766" w:hanging="0"/>
              <w:rPr>
                <w:rFonts w:ascii="Arial Narrow" w:hAnsi="Arial Narrow"/>
                <w:szCs w:val="22"/>
              </w:rPr>
            </w:pPr>
            <w:r>
              <w:rPr>
                <w:rFonts w:ascii="Arial Narrow" w:hAnsi="Arial Narrow"/>
                <w:szCs w:val="22"/>
              </w:rPr>
              <w:t>Competitors participate in the regatta entirely at their own risk.  See rule 4, Decision to Race.  The Organising Authority will not accept any liability for material damage or personal injury or death sustained in conjunction with or prior to, during, or after the regatta.</w:t>
            </w:r>
          </w:p>
          <w:p>
            <w:pPr>
              <w:pStyle w:val="BodyTextIndent2"/>
              <w:widowControl w:val="false"/>
              <w:ind w:left="766" w:hanging="709"/>
              <w:rPr>
                <w:rFonts w:ascii="Arial Narrow" w:hAnsi="Arial Narrow"/>
                <w:sz w:val="24"/>
              </w:rPr>
            </w:pPr>
            <w:r>
              <w:rPr>
                <w:rFonts w:ascii="Arial Narrow" w:hAnsi="Arial Narrow"/>
                <w:sz w:val="24"/>
              </w:rPr>
            </w:r>
          </w:p>
        </w:tc>
      </w:tr>
      <w:tr>
        <w:trPr>
          <w:trHeight w:val="626" w:hRule="atLeast"/>
          <w:cantSplit w:val="true"/>
        </w:trPr>
        <w:tc>
          <w:tcPr>
            <w:tcW w:w="9120" w:type="dxa"/>
            <w:tcBorders/>
          </w:tcPr>
          <w:p>
            <w:pPr>
              <w:pStyle w:val="ParaHeading"/>
              <w:widowControl w:val="false"/>
              <w:tabs>
                <w:tab w:val="clear" w:pos="601"/>
                <w:tab w:val="left" w:pos="766" w:leader="none"/>
              </w:tabs>
              <w:spacing w:before="240" w:after="240"/>
              <w:rPr>
                <w:rFonts w:ascii="Arial Narrow" w:hAnsi="Arial Narrow"/>
              </w:rPr>
            </w:pPr>
            <w:r>
              <w:rPr>
                <w:rFonts w:ascii="Arial Narrow" w:hAnsi="Arial Narrow"/>
              </w:rPr>
              <w:t>22.0</w:t>
              <w:tab/>
              <w:t>INSURANCE</w:t>
            </w:r>
          </w:p>
          <w:p>
            <w:pPr>
              <w:pStyle w:val="Normal"/>
              <w:widowControl w:val="false"/>
              <w:ind w:left="720" w:hanging="0"/>
              <w:rPr>
                <w:i/>
                <w:i/>
                <w:color w:val="FF0000"/>
                <w:sz w:val="22"/>
                <w:szCs w:val="22"/>
              </w:rPr>
            </w:pPr>
            <w:r>
              <w:rPr>
                <w:rFonts w:cs="Cambria" w:cstheme="majorHAnsi"/>
                <w:sz w:val="22"/>
                <w:szCs w:val="22"/>
              </w:rPr>
              <w:t xml:space="preserve">It is recommended that each participating boat shall be insured with valid marine third-party liability insurance with a minimum cover of $1,000,000 per incident or the equivalent. </w:t>
            </w:r>
          </w:p>
          <w:p>
            <w:pPr>
              <w:pStyle w:val="BodyTextIndent2"/>
              <w:widowControl w:val="false"/>
              <w:ind w:left="766" w:hanging="720"/>
              <w:rPr>
                <w:rFonts w:ascii="Arial Narrow" w:hAnsi="Arial Narrow"/>
                <w:spacing w:val="-5"/>
                <w:szCs w:val="22"/>
              </w:rPr>
            </w:pPr>
            <w:r>
              <w:rPr>
                <w:rFonts w:ascii="Arial Narrow" w:hAnsi="Arial Narrow"/>
                <w:spacing w:val="-5"/>
                <w:szCs w:val="22"/>
              </w:rPr>
            </w:r>
          </w:p>
        </w:tc>
      </w:tr>
    </w:tbl>
    <w:p>
      <w:pPr>
        <w:pStyle w:val="BodyTextIndent2"/>
        <w:ind w:left="709" w:hanging="709"/>
        <w:rPr>
          <w:rFonts w:ascii="Arial Narrow" w:hAnsi="Arial Narrow"/>
          <w:sz w:val="32"/>
        </w:rPr>
      </w:pPr>
      <w:r>
        <w:rPr>
          <w:rFonts w:ascii="Arial Narrow" w:hAnsi="Arial Narrow"/>
          <w:sz w:val="32"/>
        </w:rPr>
      </w:r>
    </w:p>
    <w:p>
      <w:pPr>
        <w:pStyle w:val="Normal"/>
        <w:rPr>
          <w:sz w:val="32"/>
        </w:rPr>
      </w:pPr>
      <w:r>
        <w:rPr>
          <w:sz w:val="32"/>
        </w:rPr>
      </w:r>
      <w:r>
        <w:br w:type="page"/>
      </w:r>
    </w:p>
    <w:p>
      <w:pPr>
        <w:pStyle w:val="Normal"/>
        <w:rPr/>
      </w:pPr>
      <w:r>
        <w:rPr>
          <w:sz w:val="32"/>
        </w:rPr>
        <w:t>Attachment A – Illustrating the Course</w:t>
      </w:r>
      <w:r>
        <w:rPr/>
        <w:t xml:space="preserve"> </w:t>
      </w:r>
    </w:p>
    <w:p>
      <w:pPr>
        <w:pStyle w:val="BodyTextIndent2"/>
        <w:ind w:left="709" w:hanging="709"/>
        <w:rPr>
          <w:rFonts w:ascii="Arial Narrow" w:hAnsi="Arial Narrow"/>
          <w:sz w:val="24"/>
        </w:rPr>
      </w:pPr>
      <w:r>
        <w:rPr>
          <w:rFonts w:ascii="Arial Narrow" w:hAnsi="Arial Narrow"/>
          <w:sz w:val="24"/>
        </w:rPr>
      </w:r>
    </w:p>
    <w:p>
      <w:pPr>
        <w:pStyle w:val="BodyTextIndent2"/>
        <w:ind w:left="0" w:hanging="0"/>
        <w:rPr>
          <w:rFonts w:ascii="Arial Narrow" w:hAnsi="Arial Narrow"/>
          <w:sz w:val="24"/>
        </w:rPr>
      </w:pPr>
      <w:r>
        <w:rPr>
          <w:rFonts w:ascii="Arial Narrow" w:hAnsi="Arial Narrow"/>
          <w:sz w:val="24"/>
        </w:rPr>
        <w:t xml:space="preserve">These diagrams show the courses, including the order in which marks are to be passed, and the side on which each mark is to be left.  </w:t>
      </w:r>
    </w:p>
    <w:p>
      <w:pPr>
        <w:pStyle w:val="BodyTextIndent2"/>
        <w:ind w:left="0" w:hanging="0"/>
        <w:rPr>
          <w:rFonts w:ascii="Arial Narrow" w:hAnsi="Arial Narrow"/>
          <w:sz w:val="24"/>
        </w:rPr>
      </w:pPr>
      <w:r>
        <w:rPr>
          <w:rFonts w:ascii="Arial Narrow" w:hAnsi="Arial Narrow"/>
          <w:sz w:val="24"/>
        </w:rPr>
      </w:r>
    </w:p>
    <w:p>
      <w:pPr>
        <w:pStyle w:val="BodyTextIndent2"/>
        <w:ind w:left="0" w:hanging="0"/>
        <w:rPr>
          <w:rFonts w:ascii="Arial Narrow" w:hAnsi="Arial Narrow"/>
          <w:sz w:val="24"/>
        </w:rPr>
      </w:pPr>
      <w:r>
        <w:rPr>
          <w:rFonts w:ascii="Arial Narrow" w:hAnsi="Arial Narrow"/>
          <w:sz w:val="24"/>
        </w:rPr>
        <w:t>The Course is:</w:t>
      </w:r>
    </w:p>
    <w:p>
      <w:pPr>
        <w:pStyle w:val="BodyTextIndent2"/>
        <w:ind w:left="0" w:hanging="0"/>
        <w:rPr>
          <w:rFonts w:ascii="Arial Narrow" w:hAnsi="Arial Narrow"/>
          <w:sz w:val="24"/>
        </w:rPr>
      </w:pPr>
      <w:r>
        <w:rPr>
          <w:rFonts w:ascii="Arial Narrow" w:hAnsi="Arial Narrow"/>
          <w:sz w:val="24"/>
        </w:rPr>
        <w:t>Start – 1 – 2 – 1 – Finish (Rounding Marks to Port)</w:t>
      </w:r>
    </w:p>
    <w:p>
      <w:pPr>
        <w:pStyle w:val="BodyTextIndent2"/>
        <w:ind w:left="0" w:hanging="0"/>
        <w:rPr>
          <w:rFonts w:ascii="Arial Narrow" w:hAnsi="Arial Narrow"/>
          <w:sz w:val="24"/>
        </w:rPr>
      </w:pPr>
      <w:r>
        <w:rPr>
          <w:rFonts w:ascii="Arial Narrow" w:hAnsi="Arial Narrow"/>
          <w:sz w:val="24"/>
        </w:rPr>
        <mc:AlternateContent>
          <mc:Choice Requires="wps">
            <w:drawing>
              <wp:anchor behindDoc="0" distT="0" distB="0" distL="0" distR="0" simplePos="0" locked="0" layoutInCell="0" allowOverlap="1" relativeHeight="11" wp14:anchorId="24EAEEAB">
                <wp:simplePos x="0" y="0"/>
                <wp:positionH relativeFrom="column">
                  <wp:posOffset>2918460</wp:posOffset>
                </wp:positionH>
                <wp:positionV relativeFrom="paragraph">
                  <wp:posOffset>5715</wp:posOffset>
                </wp:positionV>
                <wp:extent cx="405130" cy="243840"/>
                <wp:effectExtent l="0" t="0" r="0" b="4445"/>
                <wp:wrapNone/>
                <wp:docPr id="1" name="Text Box 60"/>
                <a:graphic xmlns:a="http://schemas.openxmlformats.org/drawingml/2006/main">
                  <a:graphicData uri="http://schemas.microsoft.com/office/word/2010/wordprocessingShape">
                    <wps:wsp>
                      <wps:cNvSpPr/>
                      <wps:spPr>
                        <a:xfrm>
                          <a:off x="0" y="0"/>
                          <a:ext cx="404640" cy="243360"/>
                        </a:xfrm>
                        <a:prstGeom prst="rect">
                          <a:avLst/>
                        </a:prstGeom>
                        <a:solidFill>
                          <a:srgbClr val="ffffff"/>
                        </a:solidFill>
                        <a:ln w="0">
                          <a:noFill/>
                        </a:ln>
                      </wps:spPr>
                      <wps:style>
                        <a:lnRef idx="0"/>
                        <a:fillRef idx="0"/>
                        <a:effectRef idx="0"/>
                        <a:fontRef idx="minor"/>
                      </wps:style>
                      <wps:txbx>
                        <w:txbxContent>
                          <w:p>
                            <w:pPr>
                              <w:pStyle w:val="FrameContents"/>
                              <w:rPr>
                                <w:b/>
                                <w:b/>
                                <w:sz w:val="22"/>
                                <w:szCs w:val="40"/>
                              </w:rPr>
                            </w:pPr>
                            <w:r>
                              <w:rPr>
                                <w:b/>
                                <w:sz w:val="22"/>
                                <w:szCs w:val="40"/>
                              </w:rPr>
                              <w:t>1</w:t>
                            </w:r>
                          </w:p>
                        </w:txbxContent>
                      </wps:txbx>
                      <wps:bodyPr lIns="50040" rIns="50040" tIns="25560" bIns="25560">
                        <a:noAutofit/>
                      </wps:bodyPr>
                    </wps:wsp>
                  </a:graphicData>
                </a:graphic>
              </wp:anchor>
            </w:drawing>
          </mc:Choice>
          <mc:Fallback>
            <w:pict>
              <v:rect id="shape_0" ID="Text Box 60" fillcolor="white" stroked="f" style="position:absolute;margin-left:229.8pt;margin-top:0.45pt;width:31.8pt;height:19.1pt;mso-wrap-style:square;v-text-anchor:top" wp14:anchorId="24EAEEAB">
                <v:fill o:detectmouseclick="t" type="solid" color2="black"/>
                <v:stroke color="#3465a4" joinstyle="round" endcap="flat"/>
                <v:textbox>
                  <w:txbxContent>
                    <w:p>
                      <w:pPr>
                        <w:pStyle w:val="FrameContents"/>
                        <w:rPr>
                          <w:b/>
                          <w:b/>
                          <w:sz w:val="22"/>
                          <w:szCs w:val="40"/>
                        </w:rPr>
                      </w:pPr>
                      <w:r>
                        <w:rPr>
                          <w:b/>
                          <w:sz w:val="22"/>
                          <w:szCs w:val="40"/>
                        </w:rPr>
                        <w:t>1</w:t>
                      </w:r>
                    </w:p>
                  </w:txbxContent>
                </v:textbox>
                <w10:wrap type="none"/>
              </v:rect>
            </w:pict>
          </mc:Fallback>
        </mc:AlternateContent>
      </w:r>
    </w:p>
    <w:p>
      <w:pPr>
        <w:pStyle w:val="BodyTextIndent2"/>
        <w:ind w:left="0" w:hanging="0"/>
        <w:rPr>
          <w:rFonts w:ascii="Arial Narrow" w:hAnsi="Arial Narrow"/>
          <w:sz w:val="24"/>
        </w:rPr>
      </w:pPr>
      <w:r>
        <w:rPr>
          <w:rFonts w:ascii="Arial Narrow" w:hAnsi="Arial Narrow"/>
          <w:sz w:val="24"/>
        </w:rPr>
        <mc:AlternateContent>
          <mc:Choice Requires="wps">
            <w:drawing>
              <wp:anchor behindDoc="0" distT="0" distB="0" distL="0" distR="0" simplePos="0" locked="0" layoutInCell="0" allowOverlap="1" relativeHeight="14" wp14:anchorId="24EAEEAD">
                <wp:simplePos x="0" y="0"/>
                <wp:positionH relativeFrom="column">
                  <wp:posOffset>2752725</wp:posOffset>
                </wp:positionH>
                <wp:positionV relativeFrom="paragraph">
                  <wp:posOffset>9525</wp:posOffset>
                </wp:positionV>
                <wp:extent cx="127635" cy="143510"/>
                <wp:effectExtent l="0" t="0" r="25400" b="28575"/>
                <wp:wrapNone/>
                <wp:docPr id="3" name="Isosceles Triangle 1"/>
                <a:graphic xmlns:a="http://schemas.openxmlformats.org/drawingml/2006/main">
                  <a:graphicData uri="http://schemas.microsoft.com/office/word/2010/wordprocessingShape">
                    <wps:wsp>
                      <wps:cNvSpPr/>
                      <wps:spPr>
                        <a:xfrm>
                          <a:off x="0" y="0"/>
                          <a:ext cx="127080" cy="142920"/>
                        </a:xfrm>
                        <a:prstGeom prst="triangle">
                          <a:avLst>
                            <a:gd name="adj" fmla="val 50000"/>
                          </a:avLst>
                        </a:prstGeom>
                        <a:solidFill>
                          <a:srgbClr val="ff0000"/>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Isosceles Triangle 1" fillcolor="red" stroked="t" style="position:absolute;margin-left:216.75pt;margin-top:0.75pt;width:9.95pt;height:11.2pt;mso-wrap-style:none;v-text-anchor:middle" wp14:anchorId="24EAEEAD" type="shapetype_5">
                <v:fill o:detectmouseclick="t" type="solid" color2="aqua"/>
                <v:stroke color="#3a5f8b" weight="25560" joinstyle="round" endcap="flat"/>
                <w10:wrap type="none"/>
              </v:shape>
            </w:pict>
          </mc:Fallback>
        </mc:AlternateContent>
      </w:r>
    </w:p>
    <w:p>
      <w:pPr>
        <w:pStyle w:val="BodyTextIndent2"/>
        <w:ind w:left="0" w:hanging="0"/>
        <w:rPr>
          <w:rFonts w:ascii="Arial Narrow" w:hAnsi="Arial Narrow"/>
          <w:sz w:val="24"/>
        </w:rPr>
      </w:pPr>
      <w:r>
        <w:rPr>
          <w:rFonts w:ascii="Arial Narrow" w:hAnsi="Arial Narrow"/>
          <w:sz w:val="24"/>
        </w:rPr>
      </w:r>
    </w:p>
    <w:p>
      <w:pPr>
        <w:pStyle w:val="BodyTextIndent2"/>
        <w:ind w:left="0" w:hanging="0"/>
        <w:rPr>
          <w:rFonts w:ascii="Arial Narrow" w:hAnsi="Arial Narrow"/>
          <w:sz w:val="24"/>
        </w:rPr>
      </w:pPr>
      <w:r>
        <w:rPr>
          <w:rFonts w:ascii="Arial Narrow" w:hAnsi="Arial Narrow"/>
          <w:sz w:val="24"/>
        </w:rPr>
      </w:r>
    </w:p>
    <w:p>
      <w:pPr>
        <w:pStyle w:val="BodyTextIndent2"/>
        <w:ind w:left="0" w:hanging="0"/>
        <w:rPr>
          <w:rFonts w:ascii="Arial Narrow" w:hAnsi="Arial Narrow"/>
          <w:sz w:val="24"/>
        </w:rPr>
      </w:pPr>
      <w:r>
        <w:rPr>
          <w:rFonts w:ascii="Arial Narrow" w:hAnsi="Arial Narrow"/>
          <w:sz w:val="24"/>
        </w:rPr>
      </w:r>
    </w:p>
    <w:p>
      <w:pPr>
        <w:pStyle w:val="BodyTextIndent2"/>
        <w:ind w:left="0" w:hanging="0"/>
        <w:rPr>
          <w:rFonts w:ascii="Arial Narrow" w:hAnsi="Arial Narrow"/>
          <w:sz w:val="24"/>
        </w:rPr>
      </w:pPr>
      <w:r>
        <w:rPr>
          <w:rFonts w:ascii="Arial Narrow" w:hAnsi="Arial Narrow"/>
          <w:sz w:val="24"/>
        </w:rPr>
      </w:r>
    </w:p>
    <w:p>
      <w:pPr>
        <w:pStyle w:val="NZYBodyItalic"/>
        <w:spacing w:before="0" w:after="100"/>
        <w:rPr>
          <w:rFonts w:ascii="Arial Narrow" w:hAnsi="Arial Narrow"/>
          <w:i w:val="false"/>
          <w:i w:val="false"/>
          <w:sz w:val="24"/>
        </w:rPr>
      </w:pPr>
      <w:r>
        <w:rPr/>
        <mc:AlternateContent>
          <mc:Choice Requires="wps">
            <w:drawing>
              <wp:anchor behindDoc="0" distT="0" distB="0" distL="0" distR="0" simplePos="0" locked="0" layoutInCell="0" allowOverlap="1" relativeHeight="10" wp14:anchorId="24EAEEAF">
                <wp:simplePos x="0" y="0"/>
                <wp:positionH relativeFrom="column">
                  <wp:posOffset>3723005</wp:posOffset>
                </wp:positionH>
                <wp:positionV relativeFrom="paragraph">
                  <wp:posOffset>1723390</wp:posOffset>
                </wp:positionV>
                <wp:extent cx="279400" cy="240030"/>
                <wp:effectExtent l="0" t="0" r="6985" b="8255"/>
                <wp:wrapNone/>
                <wp:docPr id="4" name="Text Box 59"/>
                <a:graphic xmlns:a="http://schemas.openxmlformats.org/drawingml/2006/main">
                  <a:graphicData uri="http://schemas.microsoft.com/office/word/2010/wordprocessingShape">
                    <wps:wsp>
                      <wps:cNvSpPr/>
                      <wps:spPr>
                        <a:xfrm>
                          <a:off x="0" y="0"/>
                          <a:ext cx="278640" cy="239400"/>
                        </a:xfrm>
                        <a:prstGeom prst="rect">
                          <a:avLst/>
                        </a:prstGeom>
                        <a:solidFill>
                          <a:srgbClr val="ffffff"/>
                        </a:solidFill>
                        <a:ln w="0">
                          <a:noFill/>
                        </a:ln>
                      </wps:spPr>
                      <wps:style>
                        <a:lnRef idx="0"/>
                        <a:fillRef idx="0"/>
                        <a:effectRef idx="0"/>
                        <a:fontRef idx="minor"/>
                      </wps:style>
                      <wps:txbx>
                        <w:txbxContent>
                          <w:p>
                            <w:pPr>
                              <w:pStyle w:val="FrameContents"/>
                              <w:rPr>
                                <w:b/>
                                <w:b/>
                                <w:sz w:val="22"/>
                                <w:szCs w:val="40"/>
                              </w:rPr>
                            </w:pPr>
                            <w:r>
                              <w:rPr>
                                <w:b/>
                                <w:sz w:val="22"/>
                                <w:szCs w:val="40"/>
                              </w:rPr>
                              <w:t>2</w:t>
                            </w:r>
                          </w:p>
                          <w:p>
                            <w:pPr>
                              <w:pStyle w:val="FrameContents"/>
                              <w:rPr/>
                            </w:pPr>
                            <w:r>
                              <w:rPr/>
                            </w:r>
                          </w:p>
                        </w:txbxContent>
                      </wps:txbx>
                      <wps:bodyPr lIns="50040" rIns="50040" tIns="25560" bIns="25560">
                        <a:noAutofit/>
                      </wps:bodyPr>
                    </wps:wsp>
                  </a:graphicData>
                </a:graphic>
              </wp:anchor>
            </w:drawing>
          </mc:Choice>
          <mc:Fallback>
            <w:pict>
              <v:rect id="shape_0" ID="Text Box 59" fillcolor="white" stroked="f" style="position:absolute;margin-left:293.15pt;margin-top:135.7pt;width:21.9pt;height:18.8pt;mso-wrap-style:square;v-text-anchor:top" wp14:anchorId="24EAEEAF">
                <v:fill o:detectmouseclick="t" type="solid" color2="black"/>
                <v:stroke color="#3465a4" joinstyle="round" endcap="flat"/>
                <v:textbox>
                  <w:txbxContent>
                    <w:p>
                      <w:pPr>
                        <w:pStyle w:val="FrameContents"/>
                        <w:rPr>
                          <w:b/>
                          <w:b/>
                          <w:sz w:val="22"/>
                          <w:szCs w:val="40"/>
                        </w:rPr>
                      </w:pPr>
                      <w:r>
                        <w:rPr>
                          <w:b/>
                          <w:sz w:val="22"/>
                          <w:szCs w:val="40"/>
                        </w:rPr>
                        <w:t>2</w:t>
                      </w:r>
                    </w:p>
                    <w:p>
                      <w:pPr>
                        <w:pStyle w:val="FrameContents"/>
                        <w:rPr/>
                      </w:pPr>
                      <w:r>
                        <w:rPr/>
                      </w:r>
                    </w:p>
                  </w:txbxContent>
                </v:textbox>
                <w10:wrap type="none"/>
              </v:rect>
            </w:pict>
          </mc:Fallback>
        </mc:AlternateContent>
        <mc:AlternateContent>
          <mc:Choice Requires="wps">
            <w:drawing>
              <wp:anchor behindDoc="0" distT="0" distB="0" distL="0" distR="0" simplePos="0" locked="0" layoutInCell="0" allowOverlap="1" relativeHeight="12" wp14:anchorId="24EAEEB5">
                <wp:simplePos x="0" y="0"/>
                <wp:positionH relativeFrom="column">
                  <wp:posOffset>1010285</wp:posOffset>
                </wp:positionH>
                <wp:positionV relativeFrom="paragraph">
                  <wp:posOffset>1982470</wp:posOffset>
                </wp:positionV>
                <wp:extent cx="603250" cy="226060"/>
                <wp:effectExtent l="0" t="0" r="6985" b="3175"/>
                <wp:wrapNone/>
                <wp:docPr id="6" name="Text Box 62"/>
                <a:graphic xmlns:a="http://schemas.openxmlformats.org/drawingml/2006/main">
                  <a:graphicData uri="http://schemas.microsoft.com/office/word/2010/wordprocessingShape">
                    <wps:wsp>
                      <wps:cNvSpPr/>
                      <wps:spPr>
                        <a:xfrm>
                          <a:off x="0" y="0"/>
                          <a:ext cx="602640" cy="225360"/>
                        </a:xfrm>
                        <a:prstGeom prst="rect">
                          <a:avLst/>
                        </a:prstGeom>
                        <a:solidFill>
                          <a:srgbClr val="ffffff"/>
                        </a:solidFill>
                        <a:ln w="0">
                          <a:noFill/>
                        </a:ln>
                      </wps:spPr>
                      <wps:style>
                        <a:lnRef idx="0"/>
                        <a:fillRef idx="0"/>
                        <a:effectRef idx="0"/>
                        <a:fontRef idx="minor"/>
                      </wps:style>
                      <wps:txbx>
                        <w:txbxContent>
                          <w:p>
                            <w:pPr>
                              <w:pStyle w:val="FrameContents"/>
                              <w:rPr>
                                <w:sz w:val="22"/>
                                <w:szCs w:val="40"/>
                              </w:rPr>
                            </w:pPr>
                            <w:r>
                              <w:rPr>
                                <w:sz w:val="22"/>
                                <w:szCs w:val="40"/>
                              </w:rPr>
                              <w:t>START</w:t>
                            </w:r>
                          </w:p>
                        </w:txbxContent>
                      </wps:txbx>
                      <wps:bodyPr lIns="50040" rIns="50040" tIns="25560" bIns="25560">
                        <a:noAutofit/>
                      </wps:bodyPr>
                    </wps:wsp>
                  </a:graphicData>
                </a:graphic>
              </wp:anchor>
            </w:drawing>
          </mc:Choice>
          <mc:Fallback>
            <w:pict>
              <v:rect id="shape_0" ID="Text Box 62" fillcolor="white" stroked="f" style="position:absolute;margin-left:79.55pt;margin-top:156.1pt;width:47.4pt;height:17.7pt;mso-wrap-style:square;v-text-anchor:top" wp14:anchorId="24EAEEB5">
                <v:fill o:detectmouseclick="t" type="solid" color2="black"/>
                <v:stroke color="#3465a4" joinstyle="round" endcap="flat"/>
                <v:textbox>
                  <w:txbxContent>
                    <w:p>
                      <w:pPr>
                        <w:pStyle w:val="FrameContents"/>
                        <w:rPr>
                          <w:sz w:val="22"/>
                          <w:szCs w:val="40"/>
                        </w:rPr>
                      </w:pPr>
                      <w:r>
                        <w:rPr>
                          <w:sz w:val="22"/>
                          <w:szCs w:val="40"/>
                        </w:rPr>
                        <w:t>START</w:t>
                      </w:r>
                    </w:p>
                  </w:txbxContent>
                </v:textbox>
                <w10:wrap type="none"/>
              </v:rect>
            </w:pict>
          </mc:Fallback>
        </mc:AlternateContent>
        <mc:AlternateContent>
          <mc:Choice Requires="wps">
            <w:drawing>
              <wp:anchor behindDoc="0" distT="0" distB="0" distL="0" distR="0" simplePos="0" locked="0" layoutInCell="0" allowOverlap="1" relativeHeight="13" wp14:anchorId="24EAEEB1">
                <wp:simplePos x="0" y="0"/>
                <wp:positionH relativeFrom="column">
                  <wp:posOffset>3782695</wp:posOffset>
                </wp:positionH>
                <wp:positionV relativeFrom="paragraph">
                  <wp:posOffset>1982470</wp:posOffset>
                </wp:positionV>
                <wp:extent cx="603250" cy="226060"/>
                <wp:effectExtent l="0" t="0" r="6985" b="3175"/>
                <wp:wrapNone/>
                <wp:docPr id="8" name="Text Box 67"/>
                <a:graphic xmlns:a="http://schemas.openxmlformats.org/drawingml/2006/main">
                  <a:graphicData uri="http://schemas.microsoft.com/office/word/2010/wordprocessingShape">
                    <wps:wsp>
                      <wps:cNvSpPr/>
                      <wps:spPr>
                        <a:xfrm>
                          <a:off x="0" y="0"/>
                          <a:ext cx="602640" cy="225360"/>
                        </a:xfrm>
                        <a:prstGeom prst="rect">
                          <a:avLst/>
                        </a:prstGeom>
                        <a:solidFill>
                          <a:srgbClr val="ffffff"/>
                        </a:solidFill>
                        <a:ln w="0">
                          <a:noFill/>
                        </a:ln>
                      </wps:spPr>
                      <wps:style>
                        <a:lnRef idx="0"/>
                        <a:fillRef idx="0"/>
                        <a:effectRef idx="0"/>
                        <a:fontRef idx="minor"/>
                      </wps:style>
                      <wps:txbx>
                        <w:txbxContent>
                          <w:p>
                            <w:pPr>
                              <w:pStyle w:val="FrameContents"/>
                              <w:rPr>
                                <w:sz w:val="22"/>
                                <w:szCs w:val="40"/>
                              </w:rPr>
                            </w:pPr>
                            <w:r>
                              <w:rPr>
                                <w:sz w:val="22"/>
                                <w:szCs w:val="40"/>
                              </w:rPr>
                              <w:t>FINISH</w:t>
                            </w:r>
                          </w:p>
                        </w:txbxContent>
                      </wps:txbx>
                      <wps:bodyPr lIns="50040" rIns="50040" tIns="25560" bIns="25560">
                        <a:noAutofit/>
                      </wps:bodyPr>
                    </wps:wsp>
                  </a:graphicData>
                </a:graphic>
              </wp:anchor>
            </w:drawing>
          </mc:Choice>
          <mc:Fallback>
            <w:pict>
              <v:rect id="shape_0" ID="Text Box 67" fillcolor="white" stroked="f" style="position:absolute;margin-left:297.85pt;margin-top:156.1pt;width:47.4pt;height:17.7pt;mso-wrap-style:square;v-text-anchor:top" wp14:anchorId="24EAEEB1">
                <v:fill o:detectmouseclick="t" type="solid" color2="black"/>
                <v:stroke color="#3465a4" joinstyle="round" endcap="flat"/>
                <v:textbox>
                  <w:txbxContent>
                    <w:p>
                      <w:pPr>
                        <w:pStyle w:val="FrameContents"/>
                        <w:rPr>
                          <w:sz w:val="22"/>
                          <w:szCs w:val="40"/>
                        </w:rPr>
                      </w:pPr>
                      <w:r>
                        <w:rPr>
                          <w:sz w:val="22"/>
                          <w:szCs w:val="40"/>
                        </w:rPr>
                        <w:t>FINISH</w:t>
                      </w:r>
                    </w:p>
                  </w:txbxContent>
                </v:textbox>
                <w10:wrap type="none"/>
              </v:rect>
            </w:pict>
          </mc:Fallback>
        </mc:AlternateContent>
        <mc:AlternateContent>
          <mc:Choice Requires="wps">
            <w:drawing>
              <wp:anchor behindDoc="0" distT="0" distB="0" distL="0" distR="0" simplePos="0" locked="0" layoutInCell="0" allowOverlap="1" relativeHeight="15" wp14:anchorId="24EAEEB3">
                <wp:simplePos x="0" y="0"/>
                <wp:positionH relativeFrom="column">
                  <wp:posOffset>3562350</wp:posOffset>
                </wp:positionH>
                <wp:positionV relativeFrom="paragraph">
                  <wp:posOffset>1938655</wp:posOffset>
                </wp:positionV>
                <wp:extent cx="127635" cy="143510"/>
                <wp:effectExtent l="0" t="0" r="25400" b="28575"/>
                <wp:wrapNone/>
                <wp:docPr id="10" name="Isosceles Triangle 2"/>
                <a:graphic xmlns:a="http://schemas.openxmlformats.org/drawingml/2006/main">
                  <a:graphicData uri="http://schemas.microsoft.com/office/word/2010/wordprocessingShape">
                    <wps:wsp>
                      <wps:cNvSpPr/>
                      <wps:spPr>
                        <a:xfrm>
                          <a:off x="0" y="0"/>
                          <a:ext cx="127080" cy="142920"/>
                        </a:xfrm>
                        <a:prstGeom prst="triangle">
                          <a:avLst>
                            <a:gd name="adj" fmla="val 50000"/>
                          </a:avLst>
                        </a:prstGeom>
                        <a:solidFill>
                          <a:srgbClr val="ff0000"/>
                        </a:solidFill>
                        <a:ln w="25400">
                          <a:solidFill>
                            <a:srgbClr val="3a5f8b"/>
                          </a:solidFill>
                          <a:round/>
                        </a:ln>
                      </wps:spPr>
                      <wps:style>
                        <a:lnRef idx="0"/>
                        <a:fillRef idx="0"/>
                        <a:effectRef idx="0"/>
                        <a:fontRef idx="minor"/>
                      </wps:style>
                      <wps:bodyPr/>
                    </wps:wsp>
                  </a:graphicData>
                </a:graphic>
              </wp:anchor>
            </w:drawing>
          </mc:Choice>
          <mc:Fallback>
            <w:pict>
              <v:shape id="shape_0" ID="Isosceles Triangle 2" fillcolor="red" stroked="t" style="position:absolute;margin-left:280.5pt;margin-top:152.65pt;width:9.95pt;height:11.2pt;mso-wrap-style:none;v-text-anchor:middle" wp14:anchorId="24EAEEB3" type="shapetype_5">
                <v:fill o:detectmouseclick="t" type="solid" color2="aqua"/>
                <v:stroke color="#3a5f8b" weight="25560" joinstyle="round" endcap="flat"/>
                <w10:wrap type="none"/>
              </v:shape>
            </w:pict>
          </mc:Fallback>
        </mc:AlternateContent>
        <w:object>
          <v:shape id="ole_rId2" style="position:absolute;margin-left:0pt;margin-top:0pt;width:84.75pt;height:27.65pt;mso-position-horizontal-relative:text;mso-position-vertical-relative:text" o:ole="">
            <v:imagedata r:id="rId3" o:title=""/>
          </v:shape>
          <o:OLEObject Type="Embed" ProgID="Visio.Drawing.11" ShapeID="ole_rId2" DrawAspect="Content" ObjectID="_1497164107" r:id="rId2"/>
        </w:object>
      </w:r>
    </w:p>
    <w:sectPr>
      <w:headerReference w:type="default" r:id="rId4"/>
      <w:footerReference w:type="default" r:id="rId5"/>
      <w:type w:val="nextPage"/>
      <w:pgSz w:w="11906" w:h="16838"/>
      <w:pgMar w:left="1440" w:right="1440" w:header="720" w:top="1440" w:footer="567" w:bottom="1440"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Narrow">
    <w:charset w:val="01"/>
    <w:family w:val="roman"/>
    <w:pitch w:val="variable"/>
  </w:font>
  <w:font w:name="Arial">
    <w:charset w:val="01"/>
    <w:family w:val="roman"/>
    <w:pitch w:val="variable"/>
  </w:font>
  <w:font w:name="Garamond">
    <w:charset w:val="01"/>
    <w:family w:val="roman"/>
    <w:pitch w:val="variable"/>
  </w:font>
  <w:font w:name="Tms Rmn">
    <w:altName w:val="Times New Roman"/>
    <w:charset w:val="01"/>
    <w:family w:val="roman"/>
    <w:pitch w:val="variable"/>
  </w:font>
  <w:font w:name="Liberation Sans">
    <w:altName w:val="Arial"/>
    <w:charset w:val="01"/>
    <w:family w:val="swiss"/>
    <w:pitch w:val="variable"/>
  </w:font>
  <w:font w:name="Univers 57 Condensed">
    <w:charset w:val="01"/>
    <w:family w:val="roman"/>
    <w:pitch w:val="variable"/>
  </w:font>
  <w:font w:name="Tahoma">
    <w:charset w:val="01"/>
    <w:family w:val="roman"/>
    <w:pitch w:val="variable"/>
  </w:font>
  <w:font w:name="Calibri">
    <w:charset w:val="01"/>
    <w:family w:val="roman"/>
    <w:pitch w:val="variable"/>
  </w:font>
  <w:font w:name="Cambria">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rPr>
        <w:rFonts w:ascii="Cambria" w:hAnsi="Cambria" w:asciiTheme="majorHAnsi" w:hAnsiTheme="majorHAnsi"/>
      </w:rPr>
    </w:pPr>
    <w:r>
      <w:rPr>
        <w:rFonts w:ascii="Cambria" w:hAnsi="Cambria" w:asciiTheme="majorHAnsi" w:hAnsiTheme="majorHAnsi"/>
      </w:rPr>
      <w:t>NPCL Leander Trophy Sailing Instructions 2021</w:t>
      <w:tab/>
      <w:tab/>
      <w:t xml:space="preserve">Page </w:t>
    </w:r>
    <w:r>
      <w:rPr>
        <w:rFonts w:ascii="Cambria" w:hAnsi="Cambria" w:asciiTheme="majorHAnsi" w:hAnsiTheme="majorHAnsi"/>
      </w:rPr>
      <w:fldChar w:fldCharType="begin"/>
    </w:r>
    <w:r>
      <w:rPr>
        <w:rFonts w:ascii="Cambria" w:hAnsi="Cambria"/>
      </w:rPr>
      <w:instrText> PAGE </w:instrText>
    </w:r>
    <w:r>
      <w:rPr>
        <w:rFonts w:ascii="Cambria" w:hAnsi="Cambria"/>
      </w:rPr>
      <w:fldChar w:fldCharType="separate"/>
    </w:r>
    <w:r>
      <w:rPr>
        <w:rFonts w:ascii="Cambria" w:hAnsi="Cambria"/>
      </w:rPr>
      <w:t>7</w:t>
    </w:r>
    <w:r>
      <w:rPr>
        <w:rFonts w:ascii="Cambria" w:hAnsi="Cambria"/>
      </w:rPr>
      <w:fldChar w:fldCharType="end"/>
    </w:r>
  </w:p>
  <w:p>
    <w:pPr>
      <w:pStyle w:val="Footer"/>
      <w:pBdr>
        <w:top w:val="single" w:sz="4" w:space="0" w:color="000000"/>
      </w:pBdr>
      <w:ind w:right="-23" w:hanging="0"/>
      <w:rPr>
        <w:rFonts w:ascii="Arial Narrow" w:hAnsi="Arial Narrow"/>
      </w:rPr>
    </w:pPr>
    <w:r>
      <w:rPr>
        <w:rFonts w:ascii="Arial Narrow" w:hAnsi="Arial Narrow"/>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firstLine="360"/>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86735517" o:spid="shape_0" fillcolor="silver" stroked="f" style="position:absolute;margin-left:-1.7pt;margin-top:253.9pt;width:454.5pt;height:190.05pt;mso-wrap-style:none;v-text-anchor:middle;rotation:315;mso-position-horizontal:center;mso-position-horizontal-relative:margin;mso-position-vertical:center;mso-position-vertical-relative:margin" type="shapetype_136">
          <v:path textpathok="t"/>
          <v:textpath on="t" fitshape="t" string="DRAFT" trim="t" style="font-family:&quot;Arial Narrow&quot;;font-size:1p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30"/>
        </w:tabs>
        <w:ind w:left="630" w:hanging="630"/>
      </w:pPr>
    </w:lvl>
    <w:lvl w:ilvl="1">
      <w:start w:val="1"/>
      <w:numFmt w:val="decimal"/>
      <w:lvlText w:val="%1.%2"/>
      <w:lvlJc w:val="left"/>
      <w:pPr>
        <w:tabs>
          <w:tab w:val="num" w:pos="630"/>
        </w:tabs>
        <w:ind w:left="630" w:hanging="63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7"/>
      <w:numFmt w:val="decimal"/>
      <w:lvlText w:val="%1.0"/>
      <w:lvlJc w:val="left"/>
      <w:pPr>
        <w:tabs>
          <w:tab w:val="num" w:pos="0"/>
        </w:tabs>
        <w:ind w:left="465" w:hanging="465"/>
      </w:pPr>
    </w:lvl>
    <w:lvl w:ilvl="1">
      <w:start w:val="1"/>
      <w:numFmt w:val="decimal"/>
      <w:lvlText w:val="%1.%2"/>
      <w:lvlJc w:val="left"/>
      <w:pPr>
        <w:tabs>
          <w:tab w:val="num" w:pos="0"/>
        </w:tabs>
        <w:ind w:left="1185" w:hanging="465"/>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NZ" w:eastAsia="en-N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d5cc6"/>
    <w:pPr>
      <w:widowControl/>
      <w:bidi w:val="0"/>
      <w:spacing w:before="0" w:after="0"/>
      <w:jc w:val="left"/>
    </w:pPr>
    <w:rPr>
      <w:rFonts w:ascii="Arial Narrow" w:hAnsi="Arial Narrow" w:eastAsia="Times New Roman" w:cs="Times New Roman"/>
      <w:color w:val="auto"/>
      <w:kern w:val="0"/>
      <w:sz w:val="24"/>
      <w:szCs w:val="20"/>
      <w:lang w:val="en-GB" w:eastAsia="en-GB" w:bidi="ar-SA"/>
    </w:rPr>
  </w:style>
  <w:style w:type="paragraph" w:styleId="Heading1">
    <w:name w:val="Heading 1"/>
    <w:basedOn w:val="Normal"/>
    <w:next w:val="Normal"/>
    <w:qFormat/>
    <w:rsid w:val="000d5cc6"/>
    <w:pPr>
      <w:keepNext w:val="true"/>
      <w:jc w:val="both"/>
      <w:outlineLvl w:val="0"/>
    </w:pPr>
    <w:rPr>
      <w:rFonts w:ascii="Arial" w:hAnsi="Arial"/>
      <w:b/>
      <w:sz w:val="40"/>
    </w:rPr>
  </w:style>
  <w:style w:type="paragraph" w:styleId="Heading2">
    <w:name w:val="Heading 2"/>
    <w:basedOn w:val="Normal"/>
    <w:next w:val="Normal"/>
    <w:qFormat/>
    <w:rsid w:val="000d5cc6"/>
    <w:pPr>
      <w:keepNext w:val="true"/>
      <w:jc w:val="both"/>
      <w:outlineLvl w:val="1"/>
    </w:pPr>
    <w:rPr>
      <w:rFonts w:ascii="Arial" w:hAnsi="Arial"/>
      <w:b/>
      <w:sz w:val="32"/>
    </w:rPr>
  </w:style>
  <w:style w:type="paragraph" w:styleId="Heading3">
    <w:name w:val="Heading 3"/>
    <w:basedOn w:val="Normal"/>
    <w:next w:val="Normal"/>
    <w:qFormat/>
    <w:rsid w:val="000d5cc6"/>
    <w:pPr>
      <w:keepNext w:val="true"/>
      <w:jc w:val="both"/>
      <w:outlineLvl w:val="2"/>
    </w:pPr>
    <w:rPr>
      <w:rFonts w:ascii="Arial" w:hAnsi="Arial"/>
      <w:b/>
      <w:sz w:val="22"/>
      <w:u w:val="single"/>
    </w:rPr>
  </w:style>
  <w:style w:type="paragraph" w:styleId="Heading5">
    <w:name w:val="Heading 5"/>
    <w:basedOn w:val="Normal"/>
    <w:next w:val="Normal"/>
    <w:qFormat/>
    <w:rsid w:val="000d5cc6"/>
    <w:pPr>
      <w:keepNext w:val="true"/>
      <w:tabs>
        <w:tab w:val="clear" w:pos="720"/>
        <w:tab w:val="left" w:pos="743" w:leader="none"/>
        <w:tab w:val="left" w:pos="1593" w:leader="none"/>
        <w:tab w:val="left" w:pos="2727" w:leader="none"/>
        <w:tab w:val="left" w:pos="3578" w:leader="none"/>
        <w:tab w:val="left" w:pos="4287" w:leader="none"/>
      </w:tabs>
      <w:outlineLvl w:val="4"/>
    </w:pPr>
    <w:rPr>
      <w:u w:val="single"/>
    </w:rPr>
  </w:style>
  <w:style w:type="character" w:styleId="DefaultParagraphFont" w:default="1">
    <w:name w:val="Default Paragraph Font"/>
    <w:uiPriority w:val="1"/>
    <w:semiHidden/>
    <w:unhideWhenUsed/>
    <w:qFormat/>
    <w:rPr/>
  </w:style>
  <w:style w:type="character" w:styleId="GaramondItalic" w:customStyle="1">
    <w:name w:val="Garamond Italic"/>
    <w:basedOn w:val="DefaultParagraphFont"/>
    <w:qFormat/>
    <w:rsid w:val="000d5cc6"/>
    <w:rPr>
      <w:rFonts w:ascii="Garamond" w:hAnsi="Garamond"/>
      <w:i/>
      <w:iCs/>
      <w:spacing w:val="0"/>
      <w:w w:val="100"/>
      <w:sz w:val="18"/>
      <w:effect w:val="none"/>
    </w:rPr>
  </w:style>
  <w:style w:type="character" w:styleId="Pagenumber">
    <w:name w:val="page number"/>
    <w:basedOn w:val="DefaultParagraphFont"/>
    <w:qFormat/>
    <w:rsid w:val="000d5cc6"/>
    <w:rPr>
      <w:rFonts w:ascii="Arial" w:hAnsi="Arial"/>
      <w:sz w:val="16"/>
    </w:rPr>
  </w:style>
  <w:style w:type="character" w:styleId="InternetLink">
    <w:name w:val="Hyperlink"/>
    <w:basedOn w:val="DefaultParagraphFont"/>
    <w:rsid w:val="000d5cc6"/>
    <w:rPr>
      <w:color w:val="0000FF"/>
      <w:u w:val="single"/>
    </w:rPr>
  </w:style>
  <w:style w:type="character" w:styleId="Annotationreference">
    <w:name w:val="annotation reference"/>
    <w:basedOn w:val="DefaultParagraphFont"/>
    <w:semiHidden/>
    <w:qFormat/>
    <w:rsid w:val="000d5cc6"/>
    <w:rPr>
      <w:sz w:val="16"/>
      <w:szCs w:val="16"/>
    </w:rPr>
  </w:style>
  <w:style w:type="character" w:styleId="FooterChar" w:customStyle="1">
    <w:name w:val="Footer Char"/>
    <w:basedOn w:val="DefaultParagraphFont"/>
    <w:link w:val="Footer"/>
    <w:uiPriority w:val="99"/>
    <w:qFormat/>
    <w:rsid w:val="003d11a0"/>
    <w:rPr>
      <w:rFonts w:ascii="Tms Rmn" w:hAnsi="Tms Rmn"/>
      <w:lang w:val="en-GB" w:eastAsia="en-GB"/>
    </w:rPr>
  </w:style>
  <w:style w:type="character" w:styleId="BodyTextIndent2Char" w:customStyle="1">
    <w:name w:val="Body Text Indent 2 Char"/>
    <w:basedOn w:val="DefaultParagraphFont"/>
    <w:link w:val="BodyTextIndent2"/>
    <w:qFormat/>
    <w:rsid w:val="00486caa"/>
    <w:rPr>
      <w:rFonts w:ascii="Arial" w:hAnsi="Arial"/>
      <w:sz w:val="22"/>
      <w:lang w:val="en-AU" w:eastAsia="en-GB"/>
    </w:rPr>
  </w:style>
  <w:style w:type="paragraph" w:styleId="Heading">
    <w:name w:val="Heading"/>
    <w:basedOn w:val="Normal"/>
    <w:next w:val="TextBody"/>
    <w:qFormat/>
    <w:pPr>
      <w:keepNext w:val="true"/>
      <w:spacing w:before="240" w:after="120"/>
    </w:pPr>
    <w:rPr>
      <w:rFonts w:ascii="Liberation Sans" w:hAnsi="Liberation Sans" w:eastAsia="AR PL UKai CN" w:cs="FreeSans"/>
      <w:sz w:val="28"/>
      <w:szCs w:val="28"/>
    </w:rPr>
  </w:style>
  <w:style w:type="paragraph" w:styleId="TextBody">
    <w:name w:val="Body Text"/>
    <w:basedOn w:val="Normal"/>
    <w:rsid w:val="000d5cc6"/>
    <w:pPr>
      <w:jc w:val="both"/>
    </w:pPr>
    <w:rPr>
      <w:rFonts w:ascii="Arial" w:hAnsi="Arial"/>
      <w:b/>
      <w:sz w:val="22"/>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extBodyIndent">
    <w:name w:val="Body Text Indent"/>
    <w:basedOn w:val="Normal"/>
    <w:rsid w:val="000d5cc6"/>
    <w:pPr>
      <w:ind w:left="720" w:hanging="0"/>
      <w:jc w:val="both"/>
    </w:pPr>
    <w:rPr>
      <w:rFonts w:ascii="Arial" w:hAnsi="Arial"/>
      <w:lang w:val="en-US"/>
    </w:rPr>
  </w:style>
  <w:style w:type="paragraph" w:styleId="BodyText3">
    <w:name w:val="Body Text 3"/>
    <w:basedOn w:val="Normal"/>
    <w:qFormat/>
    <w:rsid w:val="000d5cc6"/>
    <w:pPr/>
    <w:rPr>
      <w:rFonts w:ascii="Arial" w:hAnsi="Arial"/>
      <w:i/>
      <w:sz w:val="20"/>
      <w:lang w:val="en-AU"/>
    </w:rPr>
  </w:style>
  <w:style w:type="paragraph" w:styleId="BodyTextIndent3">
    <w:name w:val="Body Text Indent 3"/>
    <w:basedOn w:val="Normal"/>
    <w:qFormat/>
    <w:rsid w:val="000d5cc6"/>
    <w:pPr>
      <w:ind w:left="1168" w:hanging="567"/>
      <w:jc w:val="both"/>
    </w:pPr>
    <w:rPr>
      <w:lang w:val="en-AU"/>
    </w:rPr>
  </w:style>
  <w:style w:type="paragraph" w:styleId="BodyTextIndent2">
    <w:name w:val="Body Text Indent 2"/>
    <w:basedOn w:val="Normal"/>
    <w:link w:val="BodyTextIndent2Char"/>
    <w:qFormat/>
    <w:rsid w:val="000d5cc6"/>
    <w:pPr>
      <w:ind w:left="1440" w:hanging="720"/>
    </w:pPr>
    <w:rPr>
      <w:rFonts w:ascii="Arial" w:hAnsi="Arial"/>
      <w:sz w:val="22"/>
      <w:lang w:val="en-AU"/>
    </w:rPr>
  </w:style>
  <w:style w:type="paragraph" w:styleId="NZYSubheadLeft" w:customStyle="1">
    <w:name w:val="NZY Subhead Left"/>
    <w:basedOn w:val="NZYSubheadCentre"/>
    <w:qFormat/>
    <w:rsid w:val="000d5cc6"/>
    <w:pPr>
      <w:jc w:val="left"/>
    </w:pPr>
    <w:rPr/>
  </w:style>
  <w:style w:type="paragraph" w:styleId="NZYSubheadCentre" w:customStyle="1">
    <w:name w:val="NZY Subhead Centre"/>
    <w:autoRedefine/>
    <w:qFormat/>
    <w:rsid w:val="000d5cc6"/>
    <w:pPr>
      <w:widowControl/>
      <w:bidi w:val="0"/>
      <w:spacing w:before="0" w:after="60"/>
      <w:jc w:val="center"/>
    </w:pPr>
    <w:rPr>
      <w:rFonts w:ascii="Univers 57 Condensed" w:hAnsi="Univers 57 Condensed" w:eastAsia="Times New Roman" w:cs="Times New Roman"/>
      <w:b/>
      <w:color w:val="auto"/>
      <w:spacing w:val="-4"/>
      <w:kern w:val="0"/>
      <w:sz w:val="22"/>
      <w:szCs w:val="20"/>
      <w:lang w:val="en-AU" w:eastAsia="en-GB" w:bidi="ar-SA"/>
    </w:rPr>
  </w:style>
  <w:style w:type="paragraph" w:styleId="NZYBodyItalic" w:customStyle="1">
    <w:name w:val="NZY Body Italic"/>
    <w:basedOn w:val="Normal"/>
    <w:qFormat/>
    <w:rsid w:val="000d5cc6"/>
    <w:pPr>
      <w:spacing w:before="0" w:after="100"/>
    </w:pPr>
    <w:rPr>
      <w:rFonts w:ascii="Garamond" w:hAnsi="Garamond"/>
      <w:i/>
      <w:sz w:val="18"/>
      <w:lang w:val="en-AU"/>
    </w:rPr>
  </w:style>
  <w:style w:type="paragraph" w:styleId="NZYList1leftBold" w:customStyle="1">
    <w:name w:val="NZY List 1left Bold+"/>
    <w:basedOn w:val="Normal"/>
    <w:qFormat/>
    <w:rsid w:val="000d5cc6"/>
    <w:pPr>
      <w:spacing w:before="60" w:after="40"/>
      <w:ind w:left="567" w:hanging="567"/>
    </w:pPr>
    <w:rPr>
      <w:rFonts w:ascii="Garamond" w:hAnsi="Garamond"/>
      <w:b/>
      <w:sz w:val="18"/>
      <w:lang w:val="en-AU"/>
    </w:rPr>
  </w:style>
  <w:style w:type="paragraph" w:styleId="NZYList3" w:customStyle="1">
    <w:name w:val="NZY List 3"/>
    <w:basedOn w:val="Normal"/>
    <w:autoRedefine/>
    <w:qFormat/>
    <w:rsid w:val="000d5cc6"/>
    <w:pPr>
      <w:spacing w:before="0" w:after="60"/>
      <w:ind w:left="1701" w:hanging="0"/>
      <w:jc w:val="both"/>
    </w:pPr>
    <w:rPr>
      <w:rFonts w:ascii="Garamond" w:hAnsi="Garamond"/>
      <w:sz w:val="18"/>
      <w:lang w:val="en-AU"/>
    </w:rPr>
  </w:style>
  <w:style w:type="paragraph" w:styleId="NZYList1Left" w:customStyle="1">
    <w:name w:val="NZY List 1 Left"/>
    <w:basedOn w:val="Normal"/>
    <w:autoRedefine/>
    <w:qFormat/>
    <w:rsid w:val="000d5cc6"/>
    <w:pPr>
      <w:spacing w:before="0" w:after="100"/>
      <w:ind w:left="567" w:hanging="567"/>
    </w:pPr>
    <w:rPr>
      <w:rFonts w:ascii="Garamond" w:hAnsi="Garamond"/>
      <w:sz w:val="18"/>
      <w:lang w:val="en-AU"/>
    </w:rPr>
  </w:style>
  <w:style w:type="paragraph" w:styleId="NZYList1leftBold1" w:customStyle="1">
    <w:name w:val="NZY List 1left Bold"/>
    <w:basedOn w:val="Normal"/>
    <w:autoRedefine/>
    <w:qFormat/>
    <w:rsid w:val="000d5cc6"/>
    <w:pPr>
      <w:spacing w:before="0" w:after="100"/>
      <w:ind w:left="567" w:hanging="567"/>
    </w:pPr>
    <w:rPr>
      <w:rFonts w:ascii="Garamond" w:hAnsi="Garamond"/>
      <w:b/>
      <w:sz w:val="18"/>
      <w:lang w:val="en-AU"/>
    </w:rPr>
  </w:style>
  <w:style w:type="paragraph" w:styleId="HeaderandFooter">
    <w:name w:val="Header and Footer"/>
    <w:basedOn w:val="Normal"/>
    <w:qFormat/>
    <w:pPr/>
    <w:rPr/>
  </w:style>
  <w:style w:type="paragraph" w:styleId="Header">
    <w:name w:val="Header"/>
    <w:basedOn w:val="Normal"/>
    <w:rsid w:val="000d5cc6"/>
    <w:pPr>
      <w:tabs>
        <w:tab w:val="clear" w:pos="720"/>
        <w:tab w:val="center" w:pos="4153" w:leader="none"/>
        <w:tab w:val="right" w:pos="8306" w:leader="none"/>
      </w:tabs>
    </w:pPr>
    <w:rPr>
      <w:rFonts w:ascii="Tms Rmn" w:hAnsi="Tms Rmn"/>
      <w:sz w:val="20"/>
    </w:rPr>
  </w:style>
  <w:style w:type="paragraph" w:styleId="Footer">
    <w:name w:val="Footer"/>
    <w:basedOn w:val="Normal"/>
    <w:link w:val="FooterChar"/>
    <w:uiPriority w:val="99"/>
    <w:rsid w:val="000d5cc6"/>
    <w:pPr>
      <w:tabs>
        <w:tab w:val="clear" w:pos="720"/>
        <w:tab w:val="center" w:pos="4153" w:leader="none"/>
        <w:tab w:val="right" w:pos="8306" w:leader="none"/>
      </w:tabs>
    </w:pPr>
    <w:rPr>
      <w:rFonts w:ascii="Tms Rmn" w:hAnsi="Tms Rmn"/>
      <w:sz w:val="20"/>
    </w:rPr>
  </w:style>
  <w:style w:type="paragraph" w:styleId="List2">
    <w:name w:val="List Bullet 3"/>
    <w:basedOn w:val="Normal"/>
    <w:rsid w:val="000d5cc6"/>
    <w:pPr>
      <w:ind w:left="720" w:hanging="360"/>
    </w:pPr>
    <w:rPr/>
  </w:style>
  <w:style w:type="paragraph" w:styleId="ListBullet">
    <w:name w:val="List Bullet"/>
    <w:basedOn w:val="Normal"/>
    <w:autoRedefine/>
    <w:qFormat/>
    <w:rsid w:val="000d5cc6"/>
    <w:pPr>
      <w:numPr>
        <w:ilvl w:val="0"/>
        <w:numId w:val="2"/>
      </w:numPr>
    </w:pPr>
    <w:rPr/>
  </w:style>
  <w:style w:type="paragraph" w:styleId="BalloonText">
    <w:name w:val="Balloon Text"/>
    <w:basedOn w:val="Normal"/>
    <w:semiHidden/>
    <w:qFormat/>
    <w:rsid w:val="000d5cc6"/>
    <w:pPr/>
    <w:rPr>
      <w:rFonts w:ascii="Tahoma" w:hAnsi="Tahoma" w:cs="Tahoma"/>
      <w:sz w:val="16"/>
      <w:szCs w:val="16"/>
    </w:rPr>
  </w:style>
  <w:style w:type="paragraph" w:styleId="Annotationtext">
    <w:name w:val="annotation text"/>
    <w:basedOn w:val="Normal"/>
    <w:semiHidden/>
    <w:qFormat/>
    <w:rsid w:val="000d5cc6"/>
    <w:pPr/>
    <w:rPr>
      <w:sz w:val="20"/>
    </w:rPr>
  </w:style>
  <w:style w:type="paragraph" w:styleId="Annotationsubject">
    <w:name w:val="annotation subject"/>
    <w:basedOn w:val="Annotationtext"/>
    <w:next w:val="Annotationtext"/>
    <w:semiHidden/>
    <w:qFormat/>
    <w:rsid w:val="000d5cc6"/>
    <w:pPr/>
    <w:rPr>
      <w:b/>
      <w:bCs/>
    </w:rPr>
  </w:style>
  <w:style w:type="paragraph" w:styleId="ParaHeading" w:customStyle="1">
    <w:name w:val="Para Heading"/>
    <w:basedOn w:val="Normal"/>
    <w:qFormat/>
    <w:rsid w:val="000d5cc6"/>
    <w:pPr>
      <w:keepNext w:val="true"/>
      <w:tabs>
        <w:tab w:val="clear" w:pos="720"/>
        <w:tab w:val="left" w:pos="601" w:leader="none"/>
      </w:tabs>
      <w:spacing w:before="240" w:after="240"/>
    </w:pPr>
    <w:rPr>
      <w:rFonts w:ascii="Arial" w:hAnsi="Arial" w:cs="Arial"/>
      <w:b/>
      <w:caps/>
      <w:szCs w:val="24"/>
    </w:rPr>
  </w:style>
  <w:style w:type="paragraph" w:styleId="ListParagraph">
    <w:name w:val="List Paragraph"/>
    <w:basedOn w:val="Normal"/>
    <w:uiPriority w:val="34"/>
    <w:qFormat/>
    <w:rsid w:val="00d03610"/>
    <w:pPr>
      <w:spacing w:before="0" w:after="0"/>
      <w:ind w:left="720" w:hanging="0"/>
      <w:contextualSpacing/>
    </w:pPr>
    <w:rPr>
      <w:rFonts w:ascii="Calibri" w:hAnsi="Calibri" w:eastAsia="" w:cs="" w:asciiTheme="minorHAnsi" w:cstheme="minorBidi" w:eastAsiaTheme="minorEastAsia" w:hAnsiTheme="minorHAnsi"/>
      <w:szCs w:val="24"/>
      <w:lang w:val="en-US" w:eastAsia="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B0DABC4CE7848BE2E0B8099DDA944" ma:contentTypeVersion="10" ma:contentTypeDescription="Create a new document." ma:contentTypeScope="" ma:versionID="666bb2576081caea8d677620acd81370">
  <xsd:schema xmlns:xsd="http://www.w3.org/2001/XMLSchema" xmlns:xs="http://www.w3.org/2001/XMLSchema" xmlns:p="http://schemas.microsoft.com/office/2006/metadata/properties" xmlns:ns2="495911aa-538b-4824-953d-f791f3f66f66" targetNamespace="http://schemas.microsoft.com/office/2006/metadata/properties" ma:root="true" ma:fieldsID="3ac33b510e0271d3173a614871d42289" ns2:_="">
    <xsd:import namespace="495911aa-538b-4824-953d-f791f3f66f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11aa-538b-4824-953d-f791f3f66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5891F-C786-4868-9B5B-C9F4394015AB}">
  <ds:schemaRefs>
    <ds:schemaRef ds:uri="http://schemas.microsoft.com/sharepoint/v3/contenttype/forms"/>
  </ds:schemaRefs>
</ds:datastoreItem>
</file>

<file path=customXml/itemProps2.xml><?xml version="1.0" encoding="utf-8"?>
<ds:datastoreItem xmlns:ds="http://schemas.openxmlformats.org/officeDocument/2006/customXml" ds:itemID="{CD2787B3-DE24-42D3-BFFD-561AABE5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11aa-538b-4824-953d-f791f3f66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16653-0FEC-4FDA-AA5C-55DA334E49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LibreOffice/7.0.4.2$Linux_X86_64 LibreOffice_project/00$Build-2</Application>
  <AppVersion>15.0000</AppVersion>
  <Pages>7</Pages>
  <Words>1728</Words>
  <Characters>8112</Characters>
  <CharactersWithSpaces>9820</CharactersWithSpaces>
  <Paragraphs>134</Paragraphs>
  <Company>Yachting NZ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2020-10-28T00:24:00Z</dcterms:created>
  <dc:creator>Ann Rickerby</dc:creator>
  <dc:description/>
  <dc:language>en-NZ</dc:language>
  <cp:lastModifiedBy>paulroe </cp:lastModifiedBy>
  <cp:lastPrinted>2018-02-14T19:50:00Z</cp:lastPrinted>
  <dcterms:modified xsi:type="dcterms:W3CDTF">2020-12-13T11:04:37Z</dcterms:modified>
  <cp:revision>7</cp:revision>
  <dc:subject/>
  <dc:title>SAILING INSTRUCTIONS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0x0101002E1B0DABC4CE7848BE2E0B8099DDA944</vt:lpwstr>
  </property>
  <property fmtid="{D5CDD505-2E9C-101B-9397-08002B2CF9AE}" pid="3" name="Order">
    <vt:r8>763600</vt:r8>
  </property>
</Properties>
</file>